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7CF3" w14:textId="77777777" w:rsidR="00A87B76" w:rsidRDefault="00A87B76" w:rsidP="003F4F75">
      <w:pPr>
        <w:spacing w:before="100" w:beforeAutospacing="1" w:after="100" w:afterAutospacing="1" w:line="240" w:lineRule="auto"/>
        <w:jc w:val="center"/>
        <w:rPr>
          <w:rFonts w:ascii="Times New Roman" w:hAnsi="Times New Roman" w:cs="Times New Roman"/>
          <w:b/>
          <w:bCs/>
          <w:color w:val="000000" w:themeColor="text1"/>
        </w:rPr>
      </w:pPr>
      <w:r w:rsidRPr="00D26922">
        <w:rPr>
          <w:rFonts w:ascii="Times New Roman" w:hAnsi="Times New Roman" w:cs="Times New Roman"/>
          <w:b/>
          <w:bCs/>
          <w:color w:val="000000" w:themeColor="text1"/>
        </w:rPr>
        <w:t>Academic Ghost Models Under AI Scrutiny: Outdated Syllabi and Credential Misalignment in Modern Institutions</w:t>
      </w:r>
    </w:p>
    <w:p w14:paraId="664CB748" w14:textId="0F0318B0" w:rsidR="00AF3CC0" w:rsidRPr="00D26922" w:rsidRDefault="00AF3CC0" w:rsidP="00AF3CC0">
      <w:pPr>
        <w:spacing w:before="100" w:beforeAutospacing="1" w:after="100" w:afterAutospacing="1" w:line="240" w:lineRule="auto"/>
        <w:jc w:val="center"/>
        <w:rPr>
          <w:rFonts w:ascii="Times New Roman" w:eastAsia="Times New Roman" w:hAnsi="Times New Roman" w:cs="Times New Roman"/>
          <w:b/>
          <w:bCs/>
          <w:color w:val="000000" w:themeColor="text1"/>
          <w:kern w:val="0"/>
          <w14:ligatures w14:val="none"/>
        </w:rPr>
      </w:pPr>
      <w:r w:rsidRPr="00AF3CC0">
        <w:rPr>
          <w:rFonts w:ascii="Times New Roman" w:eastAsia="Times New Roman" w:hAnsi="Times New Roman" w:cs="Times New Roman"/>
          <w:b/>
          <w:bCs/>
          <w:color w:val="000000" w:themeColor="text1"/>
          <w:kern w:val="0"/>
          <w14:ligatures w14:val="none"/>
        </w:rPr>
        <w:t>Viktor Wang, California State University, San Bernardino, USA</w:t>
      </w:r>
      <w:r>
        <w:rPr>
          <w:rFonts w:ascii="Times New Roman" w:eastAsia="Times New Roman" w:hAnsi="Times New Roman" w:cs="Times New Roman"/>
          <w:b/>
          <w:bCs/>
          <w:color w:val="000000" w:themeColor="text1"/>
          <w:kern w:val="0"/>
          <w14:ligatures w14:val="none"/>
        </w:rPr>
        <w:br/>
      </w:r>
      <w:r w:rsidRPr="00AF3CC0">
        <w:rPr>
          <w:rFonts w:ascii="Times New Roman" w:eastAsia="Times New Roman" w:hAnsi="Times New Roman" w:cs="Times New Roman"/>
          <w:b/>
          <w:bCs/>
          <w:color w:val="000000" w:themeColor="text1"/>
          <w:kern w:val="0"/>
          <w14:ligatures w14:val="none"/>
        </w:rPr>
        <w:t>https://orcid.org/0000-0001-9557-0054</w:t>
      </w:r>
    </w:p>
    <w:p w14:paraId="788E4878" w14:textId="77777777" w:rsidR="00D4395D" w:rsidRPr="00D26922" w:rsidRDefault="00AC1C4A" w:rsidP="003F4F75">
      <w:pPr>
        <w:pStyle w:val="NormalWeb"/>
        <w:jc w:val="center"/>
        <w:rPr>
          <w:rStyle w:val="Strong"/>
          <w:rFonts w:eastAsiaTheme="majorEastAsia"/>
          <w:color w:val="000000" w:themeColor="text1"/>
        </w:rPr>
      </w:pPr>
      <w:r w:rsidRPr="00D26922">
        <w:rPr>
          <w:rStyle w:val="Strong"/>
          <w:rFonts w:eastAsiaTheme="majorEastAsia"/>
          <w:color w:val="000000" w:themeColor="text1"/>
        </w:rPr>
        <w:t>Abstract</w:t>
      </w:r>
    </w:p>
    <w:p w14:paraId="0138D02D" w14:textId="77777777" w:rsidR="00056DF9" w:rsidRPr="00D26922" w:rsidRDefault="00056DF9" w:rsidP="00056DF9">
      <w:pPr>
        <w:pStyle w:val="NormalWeb"/>
        <w:rPr>
          <w:color w:val="000000" w:themeColor="text1"/>
        </w:rPr>
      </w:pPr>
      <w:r w:rsidRPr="00D26922">
        <w:rPr>
          <w:color w:val="000000" w:themeColor="text1"/>
        </w:rPr>
        <w:t xml:space="preserve">Across higher education, institutions face mounting pressure to demonstrate accountability, ensure regulatory compliance, and protect students from systemic harm. Beneath these demands, “academic ghost models” </w:t>
      </w:r>
      <w:proofErr w:type="gramStart"/>
      <w:r w:rsidRPr="00D26922">
        <w:rPr>
          <w:color w:val="000000" w:themeColor="text1"/>
        </w:rPr>
        <w:t>persist:</w:t>
      </w:r>
      <w:proofErr w:type="gramEnd"/>
      <w:r w:rsidRPr="00D26922">
        <w:rPr>
          <w:color w:val="000000" w:themeColor="text1"/>
        </w:rPr>
        <w:t xml:space="preserve"> outdated syllabi, obsolete instructional materials, and misaligned credential frameworks that remain for decades without scrutiny. This article explains how ghost models undermine institutional credibility, erode student trust, and jeopardize accreditation. Recurring patterns in credential programs include reliance on obsolete textbooks and citation standards, misrepresentation of course content and rigor, and retaliatory responses to faculty or student calls for reform. Persistence is not a minor inconvenience; it reflects organizational misconduct. Students may pay graduate-level tuition while receiving undergraduate-level instruction, and institutions risk regulatory sanctions and reputational damage. Administrative inertia, hierarchical protectionism, and suppression of dissent allow outdated structures to endure. Accountability requires proactive curriculum audits, transparent governance, and protections for those who surface deficiencies. Higher education must replace ghost models with rigorous, current, and verifiable academic frameworks.</w:t>
      </w:r>
    </w:p>
    <w:p w14:paraId="0D69F9B5" w14:textId="77777777" w:rsidR="0034581B" w:rsidRPr="00D26922" w:rsidRDefault="00CA038E" w:rsidP="003F4F75">
      <w:pPr>
        <w:pStyle w:val="NormalWeb"/>
        <w:rPr>
          <w:b/>
          <w:bCs/>
          <w:color w:val="000000" w:themeColor="text1"/>
        </w:rPr>
      </w:pPr>
      <w:r w:rsidRPr="00D26922">
        <w:rPr>
          <w:b/>
          <w:bCs/>
          <w:color w:val="000000" w:themeColor="text1"/>
        </w:rPr>
        <w:t xml:space="preserve">Keywords: </w:t>
      </w:r>
      <w:r w:rsidR="0034581B" w:rsidRPr="00D26922">
        <w:rPr>
          <w:rStyle w:val="Strong"/>
          <w:rFonts w:eastAsiaTheme="majorEastAsia"/>
          <w:b w:val="0"/>
          <w:bCs w:val="0"/>
          <w:color w:val="000000" w:themeColor="text1"/>
        </w:rPr>
        <w:t>Academic integrity</w:t>
      </w:r>
      <w:r w:rsidR="0034581B" w:rsidRPr="00D26922">
        <w:rPr>
          <w:b/>
          <w:bCs/>
          <w:color w:val="000000" w:themeColor="text1"/>
        </w:rPr>
        <w:t xml:space="preserve">, </w:t>
      </w:r>
      <w:r w:rsidR="0034581B" w:rsidRPr="00D26922">
        <w:rPr>
          <w:rStyle w:val="Strong"/>
          <w:rFonts w:eastAsiaTheme="majorEastAsia"/>
          <w:b w:val="0"/>
          <w:bCs w:val="0"/>
          <w:color w:val="000000" w:themeColor="text1"/>
        </w:rPr>
        <w:t>Credential fraud</w:t>
      </w:r>
      <w:r w:rsidR="0034581B" w:rsidRPr="00D26922">
        <w:rPr>
          <w:b/>
          <w:bCs/>
          <w:color w:val="000000" w:themeColor="text1"/>
        </w:rPr>
        <w:t xml:space="preserve">, </w:t>
      </w:r>
      <w:r w:rsidR="0034581B" w:rsidRPr="00D26922">
        <w:rPr>
          <w:rStyle w:val="Strong"/>
          <w:rFonts w:eastAsiaTheme="majorEastAsia"/>
          <w:b w:val="0"/>
          <w:bCs w:val="0"/>
          <w:color w:val="000000" w:themeColor="text1"/>
        </w:rPr>
        <w:t>Curriculum reform</w:t>
      </w:r>
      <w:r w:rsidR="0034581B" w:rsidRPr="00D26922">
        <w:rPr>
          <w:b/>
          <w:bCs/>
          <w:color w:val="000000" w:themeColor="text1"/>
        </w:rPr>
        <w:t xml:space="preserve">, </w:t>
      </w:r>
      <w:r w:rsidR="0034581B" w:rsidRPr="00D26922">
        <w:rPr>
          <w:rStyle w:val="Strong"/>
          <w:rFonts w:eastAsiaTheme="majorEastAsia"/>
          <w:b w:val="0"/>
          <w:bCs w:val="0"/>
          <w:color w:val="000000" w:themeColor="text1"/>
        </w:rPr>
        <w:t>Accreditation compliance</w:t>
      </w:r>
      <w:r w:rsidR="0034581B" w:rsidRPr="00D26922">
        <w:rPr>
          <w:b/>
          <w:bCs/>
          <w:color w:val="000000" w:themeColor="text1"/>
        </w:rPr>
        <w:t xml:space="preserve">, </w:t>
      </w:r>
      <w:r w:rsidR="0034581B" w:rsidRPr="00D26922">
        <w:rPr>
          <w:rStyle w:val="Strong"/>
          <w:rFonts w:eastAsiaTheme="majorEastAsia"/>
          <w:b w:val="0"/>
          <w:bCs w:val="0"/>
          <w:color w:val="000000" w:themeColor="text1"/>
        </w:rPr>
        <w:t>Faculty governance</w:t>
      </w:r>
      <w:r w:rsidR="0034581B" w:rsidRPr="00D26922">
        <w:rPr>
          <w:b/>
          <w:bCs/>
          <w:color w:val="000000" w:themeColor="text1"/>
        </w:rPr>
        <w:t xml:space="preserve">, </w:t>
      </w:r>
      <w:r w:rsidR="0034581B" w:rsidRPr="00D26922">
        <w:rPr>
          <w:rStyle w:val="Strong"/>
          <w:rFonts w:eastAsiaTheme="majorEastAsia"/>
          <w:b w:val="0"/>
          <w:bCs w:val="0"/>
          <w:color w:val="000000" w:themeColor="text1"/>
        </w:rPr>
        <w:t>Student protection</w:t>
      </w:r>
    </w:p>
    <w:p w14:paraId="359D4023" w14:textId="77777777" w:rsidR="00CA038E" w:rsidRPr="00D26922" w:rsidRDefault="00CA038E" w:rsidP="003F4F75">
      <w:pPr>
        <w:pStyle w:val="NormalWeb"/>
        <w:jc w:val="center"/>
        <w:rPr>
          <w:b/>
          <w:bCs/>
          <w:color w:val="000000" w:themeColor="text1"/>
        </w:rPr>
      </w:pPr>
      <w:r w:rsidRPr="00D26922">
        <w:rPr>
          <w:b/>
          <w:bCs/>
          <w:color w:val="000000" w:themeColor="text1"/>
        </w:rPr>
        <w:t>Introduction</w:t>
      </w:r>
    </w:p>
    <w:p w14:paraId="6CB25F12" w14:textId="77777777" w:rsidR="00AD209E" w:rsidRPr="00D26922" w:rsidRDefault="00AE320C" w:rsidP="003F4F75">
      <w:pPr>
        <w:pStyle w:val="NormalWeb"/>
        <w:rPr>
          <w:color w:val="000000" w:themeColor="text1"/>
        </w:rPr>
      </w:pPr>
      <w:r w:rsidRPr="00D26922">
        <w:rPr>
          <w:color w:val="000000" w:themeColor="text1"/>
        </w:rPr>
        <w:t xml:space="preserve">Higher education is facing challenging times, as competition, economic constraints, and rapid sociotechnological change intensify. Now, more than ever, universities are held accountable and are under mounting pressure to uphold accreditation standards and safeguard student interests. Beneath heightened efforts to respond to these demands, a persistent and often under-recognized problem </w:t>
      </w:r>
      <w:proofErr w:type="gramStart"/>
      <w:r w:rsidRPr="00D26922">
        <w:rPr>
          <w:color w:val="000000" w:themeColor="text1"/>
        </w:rPr>
        <w:t>remains:</w:t>
      </w:r>
      <w:proofErr w:type="gramEnd"/>
      <w:r w:rsidRPr="00D26922">
        <w:rPr>
          <w:color w:val="000000" w:themeColor="text1"/>
        </w:rPr>
        <w:t xml:space="preserve"> legacy courses left untouched, with obsolete syllabi and irrelevant instructional materials. These “academic ghost models” continue to propagate despite changing accreditation criteria and educational standards. Unrecognized and unaddressed, academic ghost models pose a significant threat to institutions and to student interests.</w:t>
      </w:r>
    </w:p>
    <w:p w14:paraId="11F62602" w14:textId="77777777" w:rsidR="00AD209E" w:rsidRPr="00D26922" w:rsidRDefault="00AD209E" w:rsidP="003F4F75">
      <w:pPr>
        <w:pStyle w:val="NormalWeb"/>
        <w:rPr>
          <w:color w:val="000000" w:themeColor="text1"/>
        </w:rPr>
      </w:pPr>
      <w:r w:rsidRPr="00D26922">
        <w:rPr>
          <w:rStyle w:val="relative"/>
          <w:rFonts w:eastAsiaTheme="majorEastAsia"/>
          <w:color w:val="000000" w:themeColor="text1"/>
        </w:rPr>
        <w:t xml:space="preserve">These ghost models </w:t>
      </w:r>
      <w:r w:rsidR="00305C45" w:rsidRPr="00D26922">
        <w:rPr>
          <w:rStyle w:val="relative"/>
          <w:rFonts w:eastAsiaTheme="majorEastAsia"/>
          <w:color w:val="000000" w:themeColor="text1"/>
        </w:rPr>
        <w:t xml:space="preserve">usually </w:t>
      </w:r>
      <w:r w:rsidRPr="00D26922">
        <w:rPr>
          <w:rStyle w:val="relative"/>
          <w:rFonts w:eastAsiaTheme="majorEastAsia"/>
          <w:color w:val="000000" w:themeColor="text1"/>
        </w:rPr>
        <w:t>emerge where courses rely on decades-old content, erroneous citation standards, and misaligned frameworks. Such courses can persist unchecked, eroding institutional credibility and undermining student outcomes. As one recent commentary warns, outdated curriculum</w:t>
      </w:r>
      <w:r w:rsidR="002167E6" w:rsidRPr="00D26922">
        <w:rPr>
          <w:rStyle w:val="relative"/>
          <w:rFonts w:eastAsiaTheme="majorEastAsia"/>
          <w:color w:val="000000" w:themeColor="text1"/>
        </w:rPr>
        <w:t xml:space="preserve"> (</w:t>
      </w:r>
      <w:r w:rsidR="002167E6" w:rsidRPr="00D26922">
        <w:rPr>
          <w:noProof/>
          <w:color w:val="000000" w:themeColor="text1"/>
        </w:rPr>
        <w:t>Moyo, 2024</w:t>
      </w:r>
      <w:r w:rsidR="002167E6" w:rsidRPr="00D26922">
        <w:rPr>
          <w:rStyle w:val="relative"/>
          <w:rFonts w:eastAsiaTheme="majorEastAsia"/>
          <w:color w:val="000000" w:themeColor="text1"/>
        </w:rPr>
        <w:t>)</w:t>
      </w:r>
      <w:r w:rsidRPr="00D26922">
        <w:rPr>
          <w:rStyle w:val="relative"/>
          <w:rFonts w:eastAsiaTheme="majorEastAsia"/>
          <w:color w:val="000000" w:themeColor="text1"/>
        </w:rPr>
        <w:t xml:space="preserve"> can lead to declining enrollment, employer distrust, and reputational damage—highlighting the necessity of frequent course updates to remain competitive and relevant (Noodle, 2025).</w:t>
      </w:r>
    </w:p>
    <w:p w14:paraId="2B1CE6EE" w14:textId="77777777" w:rsidR="00AD209E" w:rsidRPr="00D26922" w:rsidRDefault="00AD209E" w:rsidP="003F4F75">
      <w:pPr>
        <w:pStyle w:val="NormalWeb"/>
        <w:rPr>
          <w:color w:val="000000" w:themeColor="text1"/>
        </w:rPr>
      </w:pPr>
      <w:r w:rsidRPr="00D26922">
        <w:rPr>
          <w:color w:val="000000" w:themeColor="text1"/>
        </w:rPr>
        <w:t xml:space="preserve">Compounding the issue of outdated courses is the rise of “ghost faculty”—instructors assigned to templated, unchecked content. In some cases, no instructor is assigned at all. This trend </w:t>
      </w:r>
      <w:r w:rsidRPr="00D26922">
        <w:rPr>
          <w:color w:val="000000" w:themeColor="text1"/>
        </w:rPr>
        <w:lastRenderedPageBreak/>
        <w:t>increasingly undermines course quality, especially as online education continues to scale (Babb Education, 2025). Meanwhile, accreditation bodies underscore the need for continuous curricular improvement; the AACSB, for example, emphasizes that the principle of continuous improvement must extend universally across all accredited domains (AACSB, 2023), while recent federal orders mandate accreditation reform grounded in high-quality academic programming and equity (Nat’l Law Review, 2025).</w:t>
      </w:r>
    </w:p>
    <w:p w14:paraId="0ED407E3" w14:textId="77777777" w:rsidR="00AD209E" w:rsidRPr="00D26922" w:rsidRDefault="00AD209E" w:rsidP="003F4F75">
      <w:pPr>
        <w:pStyle w:val="NormalWeb"/>
        <w:rPr>
          <w:color w:val="000000" w:themeColor="text1"/>
        </w:rPr>
      </w:pPr>
      <w:r w:rsidRPr="00D26922">
        <w:rPr>
          <w:rStyle w:val="relative"/>
          <w:rFonts w:eastAsiaTheme="majorEastAsia"/>
          <w:color w:val="000000" w:themeColor="text1"/>
        </w:rPr>
        <w:t>These converging trends underscore why academic ghost models—once merely tolerated relics—now pose existential risks</w:t>
      </w:r>
      <w:r w:rsidR="0084128F" w:rsidRPr="00D26922">
        <w:rPr>
          <w:rStyle w:val="relative"/>
          <w:rFonts w:eastAsiaTheme="majorEastAsia"/>
          <w:color w:val="000000" w:themeColor="text1"/>
        </w:rPr>
        <w:t xml:space="preserve"> to higher education</w:t>
      </w:r>
      <w:r w:rsidRPr="00D26922">
        <w:rPr>
          <w:rStyle w:val="relative"/>
          <w:rFonts w:eastAsiaTheme="majorEastAsia"/>
          <w:color w:val="000000" w:themeColor="text1"/>
        </w:rPr>
        <w:t>. Students may be paying graduate-level tuition but receiving instruction grounded in outdated paradigms. Accreditation may be jeopardized. Institutional morale and trust may collapse.</w:t>
      </w:r>
    </w:p>
    <w:p w14:paraId="773F579E" w14:textId="77777777" w:rsidR="00AD209E" w:rsidRPr="00D26922" w:rsidRDefault="00AD209E" w:rsidP="003F4F75">
      <w:pPr>
        <w:pStyle w:val="NormalWeb"/>
        <w:rPr>
          <w:color w:val="000000" w:themeColor="text1"/>
        </w:rPr>
      </w:pPr>
      <w:r w:rsidRPr="00D26922">
        <w:rPr>
          <w:color w:val="000000" w:themeColor="text1"/>
        </w:rPr>
        <w:t>This article examines the anatomy of academic ghost models across credential programs, explores their implications for students and institutions, and identifies systemic enablers of their persistence. Drawing on the latest reports and sector-level data, we document how administrative inertia, lack of oversight, and reprisals against reform-minded faculty and students enable these models’ survival. We conclude with actionable recommendations—regular curriculum audits, inclusive governance frameworks, and protections for whistleblowers—to ensure academic integrity and uphold institutional missions.</w:t>
      </w:r>
    </w:p>
    <w:p w14:paraId="54114587" w14:textId="77777777" w:rsidR="00F67BEC" w:rsidRPr="00D26922" w:rsidRDefault="00F67BEC" w:rsidP="003F4F75">
      <w:pPr>
        <w:spacing w:before="100" w:beforeAutospacing="1" w:after="100" w:afterAutospacing="1" w:line="240" w:lineRule="auto"/>
        <w:jc w:val="center"/>
        <w:outlineLvl w:val="1"/>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Identification of Patterns</w:t>
      </w:r>
    </w:p>
    <w:p w14:paraId="35A53312" w14:textId="77777777" w:rsidR="00F67BEC" w:rsidRPr="00D26922" w:rsidRDefault="0084128F"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Institutional curriculum rot often goes unremarked, and the problem is not isolated. Instead, there are observable patterns across multiple courses: outdated syllabi (often anchored in obsolete textbooks), outdated citation formats, and misalignments with accreditation frameworks.</w:t>
      </w:r>
    </w:p>
    <w:p w14:paraId="1DA50A04" w14:textId="77777777" w:rsidR="00F67BEC" w:rsidRPr="00D26922" w:rsidRDefault="007B67BB" w:rsidP="003F4F75">
      <w:pPr>
        <w:spacing w:before="100" w:beforeAutospacing="1" w:after="100" w:afterAutospacing="1" w:line="240" w:lineRule="auto"/>
        <w:outlineLvl w:val="2"/>
        <w:rPr>
          <w:rFonts w:ascii="Times New Roman" w:eastAsia="Times New Roman" w:hAnsi="Times New Roman" w:cs="Times New Roman"/>
          <w:i/>
          <w:iCs/>
          <w:color w:val="000000" w:themeColor="text1"/>
          <w:kern w:val="0"/>
          <w14:ligatures w14:val="none"/>
        </w:rPr>
      </w:pPr>
      <w:r w:rsidRPr="00D26922">
        <w:rPr>
          <w:rFonts w:ascii="Times New Roman" w:eastAsia="Times New Roman" w:hAnsi="Times New Roman" w:cs="Times New Roman"/>
          <w:i/>
          <w:iCs/>
          <w:color w:val="000000" w:themeColor="text1"/>
          <w:kern w:val="0"/>
          <w14:ligatures w14:val="none"/>
        </w:rPr>
        <w:t xml:space="preserve">Outdated Syllabi and </w:t>
      </w:r>
      <w:r w:rsidR="00F67BEC" w:rsidRPr="00D26922">
        <w:rPr>
          <w:rFonts w:ascii="Times New Roman" w:eastAsia="Times New Roman" w:hAnsi="Times New Roman" w:cs="Times New Roman"/>
          <w:i/>
          <w:iCs/>
          <w:color w:val="000000" w:themeColor="text1"/>
          <w:kern w:val="0"/>
          <w14:ligatures w14:val="none"/>
        </w:rPr>
        <w:t>Obsolete Textbooks Across Courses</w:t>
      </w:r>
    </w:p>
    <w:p w14:paraId="5F7DF213" w14:textId="77777777" w:rsidR="007B67BB" w:rsidRPr="00D26922" w:rsidRDefault="007B67BB"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 xml:space="preserve">Syllabi in higher education are often information-based. But in the technological age, information isn’t the “currency of education as it used to be in the </w:t>
      </w:r>
      <w:proofErr w:type="gramStart"/>
      <w:r w:rsidRPr="00D26922">
        <w:rPr>
          <w:rFonts w:ascii="Times New Roman" w:hAnsi="Times New Roman" w:cs="Times New Roman"/>
          <w:color w:val="000000" w:themeColor="text1"/>
        </w:rPr>
        <w:t>middle ages</w:t>
      </w:r>
      <w:proofErr w:type="gramEnd"/>
      <w:r w:rsidRPr="00D26922">
        <w:rPr>
          <w:rFonts w:ascii="Times New Roman" w:hAnsi="Times New Roman" w:cs="Times New Roman"/>
          <w:color w:val="000000" w:themeColor="text1"/>
        </w:rPr>
        <w:t>” (Karakhanyan, 2022, p. 17). Acknowledging that certain core knowledge is important, the currency of education is in problem solving, critical thinking, basic skills, “insights and wisdom” (Karakhanyan, 2022). To complicate the situation further, much of the information in courses is outdated and obsolete. One culprit is the continued use of textbooks in many courses.</w:t>
      </w:r>
    </w:p>
    <w:p w14:paraId="7DBCACB3" w14:textId="77777777" w:rsidR="00F67BEC" w:rsidRPr="00D26922" w:rsidRDefault="00100331"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Research indicates that print textbooks become outdated within an average span of about three years, yet institutions often continue to rely on them long past their useful life (Dhami, 2019). Instructors who maintain decades-old course materials contribute to a stale learning environment, reducing engagement and relevance (Moyo, 2024). Especially in credential and graduate programs, courses that perpetuate obsolete readings systematically undermine educational quality. When students pay for “advanced” instruction but receive content that predates significant developments, institutions risk reputational damage and declining student trust (Noodle, 2025).</w:t>
      </w:r>
    </w:p>
    <w:p w14:paraId="0FF2D052" w14:textId="77777777" w:rsidR="000434A1" w:rsidRDefault="000434A1" w:rsidP="003F4F75">
      <w:pPr>
        <w:spacing w:before="100" w:beforeAutospacing="1" w:after="100" w:afterAutospacing="1" w:line="240" w:lineRule="auto"/>
        <w:outlineLvl w:val="2"/>
        <w:rPr>
          <w:rFonts w:ascii="Times New Roman" w:eastAsia="Times New Roman" w:hAnsi="Times New Roman" w:cs="Times New Roman"/>
          <w:i/>
          <w:iCs/>
          <w:color w:val="000000" w:themeColor="text1"/>
          <w:kern w:val="0"/>
          <w14:ligatures w14:val="none"/>
        </w:rPr>
      </w:pPr>
    </w:p>
    <w:p w14:paraId="4A3A3B26" w14:textId="22D2E6F3" w:rsidR="00F67BEC" w:rsidRPr="00D26922" w:rsidRDefault="00F67BEC" w:rsidP="003F4F75">
      <w:pPr>
        <w:spacing w:before="100" w:beforeAutospacing="1" w:after="100" w:afterAutospacing="1" w:line="240" w:lineRule="auto"/>
        <w:outlineLvl w:val="2"/>
        <w:rPr>
          <w:rFonts w:ascii="Times New Roman" w:eastAsia="Times New Roman" w:hAnsi="Times New Roman" w:cs="Times New Roman"/>
          <w:i/>
          <w:iCs/>
          <w:color w:val="000000" w:themeColor="text1"/>
          <w:kern w:val="0"/>
          <w14:ligatures w14:val="none"/>
        </w:rPr>
      </w:pPr>
      <w:r w:rsidRPr="00D26922">
        <w:rPr>
          <w:rFonts w:ascii="Times New Roman" w:eastAsia="Times New Roman" w:hAnsi="Times New Roman" w:cs="Times New Roman"/>
          <w:i/>
          <w:iCs/>
          <w:color w:val="000000" w:themeColor="text1"/>
          <w:kern w:val="0"/>
          <w14:ligatures w14:val="none"/>
        </w:rPr>
        <w:lastRenderedPageBreak/>
        <w:t xml:space="preserve">Outdated Citation Styles </w:t>
      </w:r>
    </w:p>
    <w:p w14:paraId="36FBFED7" w14:textId="77777777" w:rsidR="00F67BEC" w:rsidRPr="00D26922" w:rsidRDefault="00A612DD"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 xml:space="preserve">Outdated citation styles may seem minor in a discussion of curriculum relevance; however, changes in citation standards often reflect changes in how knowledge is documented and attributed. Failing to use updated citation practices can erode scholarly norms. For example, citation standards evolve to address electronic sources such as webpages and blogs, while older styles may not provide adequate guidance for these sources. Although APA guidelines do not impose strict recency requirements on sources, adoption of archaic citation styles (e.g., APA 5th edition) signals disregard for scholarly currency (APA Style Blog, 2021). Furthermore, lack of clarity about required citation standards can confuse students navigating the modern academic landscape, where APA 7th edition includes updated guidelines on bias-free language and streamlined formatting (APA, 2023). Faculty who </w:t>
      </w:r>
      <w:proofErr w:type="gramStart"/>
      <w:r w:rsidRPr="00D26922">
        <w:rPr>
          <w:rFonts w:ascii="Times New Roman" w:hAnsi="Times New Roman" w:cs="Times New Roman"/>
          <w:color w:val="000000" w:themeColor="text1"/>
        </w:rPr>
        <w:t>persist</w:t>
      </w:r>
      <w:proofErr w:type="gramEnd"/>
      <w:r w:rsidRPr="00D26922">
        <w:rPr>
          <w:rFonts w:ascii="Times New Roman" w:hAnsi="Times New Roman" w:cs="Times New Roman"/>
          <w:color w:val="000000" w:themeColor="text1"/>
        </w:rPr>
        <w:t xml:space="preserve"> in requiring outdated citation frameworks contribute to the erosion of academic rigor and misrepresent expectations for scholarly practice.</w:t>
      </w:r>
    </w:p>
    <w:p w14:paraId="7C6C565E" w14:textId="77777777" w:rsidR="00F67BEC" w:rsidRPr="00D26922" w:rsidRDefault="00F67BEC" w:rsidP="003F4F75">
      <w:pPr>
        <w:spacing w:before="100" w:beforeAutospacing="1" w:after="100" w:afterAutospacing="1" w:line="240" w:lineRule="auto"/>
        <w:outlineLvl w:val="2"/>
        <w:rPr>
          <w:rFonts w:ascii="Times New Roman" w:eastAsia="Times New Roman" w:hAnsi="Times New Roman" w:cs="Times New Roman"/>
          <w:i/>
          <w:iCs/>
          <w:color w:val="000000" w:themeColor="text1"/>
          <w:kern w:val="0"/>
          <w14:ligatures w14:val="none"/>
        </w:rPr>
      </w:pPr>
      <w:r w:rsidRPr="00D26922">
        <w:rPr>
          <w:rFonts w:ascii="Times New Roman" w:eastAsia="Times New Roman" w:hAnsi="Times New Roman" w:cs="Times New Roman"/>
          <w:i/>
          <w:iCs/>
          <w:color w:val="000000" w:themeColor="text1"/>
          <w:kern w:val="0"/>
          <w14:ligatures w14:val="none"/>
        </w:rPr>
        <w:t>Misalignment with Accreditation Standards</w:t>
      </w:r>
    </w:p>
    <w:p w14:paraId="633A534D" w14:textId="77777777" w:rsidR="00F67BEC" w:rsidRPr="00D26922" w:rsidRDefault="00F67BEC"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Accrediting bodies expect continuous curriculum improvement and alignment with program outcomes. Yet, institutions occasionally misclassify courses, mismatching credit units or mislabeling course objectives. Such inaccuracies can violate both regional and programmatic accreditation criteria (U.S. Department of Education, 2025). These risks are especially pronounced in direct-assessment models and credential programs which require explicit alignment of credit hours to program rigor (Wellman, 2003). Failure to properly represent these details constitutes a concrete threat to accreditation status.</w:t>
      </w:r>
    </w:p>
    <w:p w14:paraId="4F9A9441" w14:textId="77777777" w:rsidR="00375C65" w:rsidRPr="00D26922" w:rsidRDefault="00375C6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Accreditation standards are designed to ensure that curriculum remains aligned with industry requirements and that the qualifications students earn are relevant and useful for careers in the discipline. However, there is concern that higher education is becoming “increasingly irrelevant” (21K school team, 2025). The need to overhaul or reform higher education is recognized as a global imperative not only to attract and retain students but also so that “full benefits to individuals and countries can be sustained or increased” (Bucklye, 2024). In the UNESCO report on “Quality and relevance of programs in higher education” (Karakhanyan, 2022), students and employers raise concerns about institutional systems failing to prepare graduates adequately for current and future employment. The report calls for urgent reform in higher education curriculum—both content and teaching approaches.</w:t>
      </w:r>
    </w:p>
    <w:p w14:paraId="78364EF0" w14:textId="77777777" w:rsidR="00F611FA" w:rsidRPr="00D26922" w:rsidRDefault="00F611FA"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
    <w:p w14:paraId="567F3869" w14:textId="77777777" w:rsidR="007912D7" w:rsidRPr="00D26922" w:rsidRDefault="007912D7" w:rsidP="003F4F75">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Implications for Students and Institutions</w:t>
      </w:r>
    </w:p>
    <w:p w14:paraId="69A3EB49" w14:textId="77777777" w:rsidR="005C4D3C" w:rsidRPr="00D26922" w:rsidRDefault="00890887" w:rsidP="003F4F75">
      <w:pPr>
        <w:pStyle w:val="NormalWeb"/>
        <w:rPr>
          <w:color w:val="000000" w:themeColor="text1"/>
        </w:rPr>
      </w:pPr>
      <w:r w:rsidRPr="00D26922">
        <w:rPr>
          <w:color w:val="000000" w:themeColor="text1"/>
        </w:rPr>
        <w:t>Despite concern about irrelevant curricula in higher education and calls for reform, the system is slow to change. “Little has changed so far within higher education systems, regardless of the increased diversification of learning needs and rapid expansion of higher learning beyond the formal provisions.” (Karakhanyan, 2022, p. 18)</w:t>
      </w:r>
    </w:p>
    <w:p w14:paraId="508632E0" w14:textId="77777777" w:rsidR="007912D7" w:rsidRPr="00D26922" w:rsidRDefault="007912D7"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lastRenderedPageBreak/>
        <w:t xml:space="preserve">Outdated credential structures and misaligned course models inflict harm </w:t>
      </w:r>
      <w:r w:rsidR="005C4D3C" w:rsidRPr="00D26922">
        <w:rPr>
          <w:rFonts w:ascii="Times New Roman" w:eastAsia="Times New Roman" w:hAnsi="Times New Roman" w:cs="Times New Roman"/>
          <w:color w:val="000000" w:themeColor="text1"/>
          <w:kern w:val="0"/>
          <w14:ligatures w14:val="none"/>
        </w:rPr>
        <w:t>on</w:t>
      </w:r>
      <w:r w:rsidR="009E59C5" w:rsidRPr="00D26922">
        <w:rPr>
          <w:rFonts w:ascii="Times New Roman" w:eastAsia="Times New Roman" w:hAnsi="Times New Roman" w:cs="Times New Roman"/>
          <w:color w:val="000000" w:themeColor="text1"/>
          <w:kern w:val="0"/>
          <w14:ligatures w14:val="none"/>
        </w:rPr>
        <w:t xml:space="preserve"> </w:t>
      </w:r>
      <w:r w:rsidRPr="00D26922">
        <w:rPr>
          <w:rFonts w:ascii="Times New Roman" w:eastAsia="Times New Roman" w:hAnsi="Times New Roman" w:cs="Times New Roman"/>
          <w:color w:val="000000" w:themeColor="text1"/>
          <w:kern w:val="0"/>
          <w14:ligatures w14:val="none"/>
        </w:rPr>
        <w:t xml:space="preserve">students </w:t>
      </w:r>
      <w:r w:rsidR="001116E6" w:rsidRPr="00D26922">
        <w:rPr>
          <w:rFonts w:ascii="Times New Roman" w:eastAsia="Times New Roman" w:hAnsi="Times New Roman" w:cs="Times New Roman"/>
          <w:color w:val="000000" w:themeColor="text1"/>
          <w:kern w:val="0"/>
          <w14:ligatures w14:val="none"/>
        </w:rPr>
        <w:t>and</w:t>
      </w:r>
      <w:r w:rsidRPr="00D26922">
        <w:rPr>
          <w:rFonts w:ascii="Times New Roman" w:eastAsia="Times New Roman" w:hAnsi="Times New Roman" w:cs="Times New Roman"/>
          <w:color w:val="000000" w:themeColor="text1"/>
          <w:kern w:val="0"/>
          <w14:ligatures w14:val="none"/>
        </w:rPr>
        <w:t xml:space="preserve"> </w:t>
      </w:r>
      <w:r w:rsidR="005C4D3C" w:rsidRPr="00D26922">
        <w:rPr>
          <w:rFonts w:ascii="Times New Roman" w:eastAsia="Times New Roman" w:hAnsi="Times New Roman" w:cs="Times New Roman"/>
          <w:color w:val="000000" w:themeColor="text1"/>
          <w:kern w:val="0"/>
          <w14:ligatures w14:val="none"/>
        </w:rPr>
        <w:t xml:space="preserve">can </w:t>
      </w:r>
      <w:r w:rsidRPr="00D26922">
        <w:rPr>
          <w:rFonts w:ascii="Times New Roman" w:eastAsia="Times New Roman" w:hAnsi="Times New Roman" w:cs="Times New Roman"/>
          <w:color w:val="000000" w:themeColor="text1"/>
          <w:kern w:val="0"/>
          <w14:ligatures w14:val="none"/>
        </w:rPr>
        <w:t>severely jeopardize institutional viability.</w:t>
      </w:r>
    </w:p>
    <w:p w14:paraId="475A8FAB" w14:textId="77777777" w:rsidR="007912D7" w:rsidRPr="00D26922" w:rsidRDefault="007912D7" w:rsidP="003F4F75">
      <w:pPr>
        <w:spacing w:before="100" w:beforeAutospacing="1" w:after="100" w:afterAutospacing="1" w:line="240" w:lineRule="auto"/>
        <w:outlineLvl w:val="2"/>
        <w:rPr>
          <w:rFonts w:ascii="Times New Roman" w:eastAsia="Times New Roman" w:hAnsi="Times New Roman" w:cs="Times New Roman"/>
          <w:i/>
          <w:iCs/>
          <w:color w:val="000000" w:themeColor="text1"/>
          <w:kern w:val="0"/>
          <w14:ligatures w14:val="none"/>
        </w:rPr>
      </w:pPr>
      <w:r w:rsidRPr="00D26922">
        <w:rPr>
          <w:rFonts w:ascii="Times New Roman" w:eastAsia="Times New Roman" w:hAnsi="Times New Roman" w:cs="Times New Roman"/>
          <w:i/>
          <w:iCs/>
          <w:color w:val="000000" w:themeColor="text1"/>
          <w:kern w:val="0"/>
          <w14:ligatures w14:val="none"/>
        </w:rPr>
        <w:t>Student Harm: Underprepared Graduates, Emotional and Financial Burdens</w:t>
      </w:r>
    </w:p>
    <w:p w14:paraId="78467A38" w14:textId="77777777" w:rsidR="007912D7" w:rsidRPr="00D26922" w:rsidRDefault="007912D7"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Academic underpreparedness—stemming from instructional inconsistency or obsolete courses—has become increasingly consequential. Research shows that many students enter college without the academic readiness needed for advanced study, and institutions must then allocate costly resources to remediation initiatives (Bettinger &amp; Long, 2009). While remediation can support retention, it often delays progress and may erode confidence. Moreover, students today face rising financial distress. A 2024 survey found that 59% of college students considered dropping out due to financial stress, with 78% reporting negative impacts on mental health (Ellucian, 2024). When outdated or irrelevant coursework further diminishes perceived educational value, the psychological toll deepens.</w:t>
      </w:r>
    </w:p>
    <w:p w14:paraId="42CBB426" w14:textId="77777777" w:rsidR="007912D7" w:rsidRPr="00D26922" w:rsidRDefault="007912D7"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Graduate students bear equally heavy emotional burdens. Recent findings highlight the </w:t>
      </w:r>
      <w:r w:rsidRPr="00D26922">
        <w:rPr>
          <w:rFonts w:ascii="Times New Roman" w:eastAsia="Times New Roman" w:hAnsi="Times New Roman" w:cs="Times New Roman"/>
          <w:b/>
          <w:bCs/>
          <w:color w:val="000000" w:themeColor="text1"/>
          <w:kern w:val="0"/>
          <w14:ligatures w14:val="none"/>
        </w:rPr>
        <w:t>emotional labor</w:t>
      </w:r>
      <w:r w:rsidRPr="00D26922">
        <w:rPr>
          <w:rFonts w:ascii="Times New Roman" w:eastAsia="Times New Roman" w:hAnsi="Times New Roman" w:cs="Times New Roman"/>
          <w:color w:val="000000" w:themeColor="text1"/>
          <w:kern w:val="0"/>
          <w14:ligatures w14:val="none"/>
        </w:rPr>
        <w:t xml:space="preserve"> experienced by graduate students—especially those from underrepresented or first-generation backgrounds—manifesting as heightened stress, lower self-efficacy, and a fragile sense of belonging (Bai et al., 2025). Courses that offer no genuine academic substance can amplify these challenges.</w:t>
      </w:r>
    </w:p>
    <w:p w14:paraId="1BCAEEBF" w14:textId="77777777" w:rsidR="007912D7" w:rsidRPr="00D26922" w:rsidRDefault="007912D7" w:rsidP="003F4F75">
      <w:pPr>
        <w:spacing w:before="100" w:beforeAutospacing="1" w:after="100" w:afterAutospacing="1" w:line="240" w:lineRule="auto"/>
        <w:outlineLvl w:val="2"/>
        <w:rPr>
          <w:rFonts w:ascii="Times New Roman" w:eastAsia="Times New Roman" w:hAnsi="Times New Roman" w:cs="Times New Roman"/>
          <w:i/>
          <w:iCs/>
          <w:color w:val="000000" w:themeColor="text1"/>
          <w:kern w:val="0"/>
          <w14:ligatures w14:val="none"/>
        </w:rPr>
      </w:pPr>
      <w:r w:rsidRPr="00D26922">
        <w:rPr>
          <w:rFonts w:ascii="Times New Roman" w:eastAsia="Times New Roman" w:hAnsi="Times New Roman" w:cs="Times New Roman"/>
          <w:i/>
          <w:iCs/>
          <w:color w:val="000000" w:themeColor="text1"/>
          <w:kern w:val="0"/>
          <w14:ligatures w14:val="none"/>
        </w:rPr>
        <w:t>Risk: Accreditation Jeopardy and Legal/External Liability</w:t>
      </w:r>
    </w:p>
    <w:p w14:paraId="5335E02A" w14:textId="77777777" w:rsidR="007912D7" w:rsidRPr="00D26922" w:rsidRDefault="007912D7"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From an institutional perspective, maintaining outdated credential models carries serious risk. The </w:t>
      </w:r>
      <w:r w:rsidRPr="00D26922">
        <w:rPr>
          <w:rFonts w:ascii="Times New Roman" w:eastAsia="Times New Roman" w:hAnsi="Times New Roman" w:cs="Times New Roman"/>
          <w:b/>
          <w:bCs/>
          <w:color w:val="000000" w:themeColor="text1"/>
          <w:kern w:val="0"/>
          <w14:ligatures w14:val="none"/>
        </w:rPr>
        <w:t>U.S. Department of Education</w:t>
      </w:r>
      <w:r w:rsidRPr="00D26922">
        <w:rPr>
          <w:rFonts w:ascii="Times New Roman" w:eastAsia="Times New Roman" w:hAnsi="Times New Roman" w:cs="Times New Roman"/>
          <w:color w:val="000000" w:themeColor="text1"/>
          <w:kern w:val="0"/>
          <w14:ligatures w14:val="none"/>
        </w:rPr>
        <w:t xml:space="preserve"> underscores accreditation’s role in ensuring quality; failure to comply threatens institutional recognition and federal funding (U.S. Department of Education, 2025). When course descriptions misalign with program outcomes, or curriculum no longer meets state credentialing guidelines, accreditation integrity is at risk.</w:t>
      </w:r>
    </w:p>
    <w:p w14:paraId="54E58FBC" w14:textId="77777777" w:rsidR="007912D7" w:rsidRPr="00D26922" w:rsidRDefault="007912D7"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Moreover, regulatory and legal compliance has risen sharply as a concern for institutional leadership, now ranking among the top five risks nationwide (United Educators, 2024). Legal exposure intensifies when students formally document harm or curriculum fraud. Institutions frequently rely on Educators Legal Liability (ELL) insurance (coverage up to $30 million) to manage claims—but even such coverage cannot fully mitigate long-term reputational damage (UE, 2025).</w:t>
      </w:r>
    </w:p>
    <w:p w14:paraId="05C80F65" w14:textId="77777777" w:rsidR="00EA5D4D" w:rsidRPr="00D26922" w:rsidRDefault="007912D7"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Adding to this, enterprise-wide risk management (ERM) remains underutilized. Despite a landscape marked by enrollment pressures, accreditation scrutiny, and operational threats, only </w:t>
      </w:r>
      <w:r w:rsidRPr="00D26922">
        <w:rPr>
          <w:rFonts w:ascii="Times New Roman" w:eastAsia="Times New Roman" w:hAnsi="Times New Roman" w:cs="Times New Roman"/>
          <w:b/>
          <w:bCs/>
          <w:color w:val="000000" w:themeColor="text1"/>
          <w:kern w:val="0"/>
          <w14:ligatures w14:val="none"/>
        </w:rPr>
        <w:t>approximately 5% of institutions</w:t>
      </w:r>
      <w:r w:rsidRPr="00D26922">
        <w:rPr>
          <w:rFonts w:ascii="Times New Roman" w:eastAsia="Times New Roman" w:hAnsi="Times New Roman" w:cs="Times New Roman"/>
          <w:color w:val="000000" w:themeColor="text1"/>
          <w:kern w:val="0"/>
          <w14:ligatures w14:val="none"/>
        </w:rPr>
        <w:t xml:space="preserve"> have formal ERM structures in place (Changing Higher Ed®, 2025). Without integrated risk strategies, cumulative issues like ghost credential models can balloon into existential crises.</w:t>
      </w:r>
    </w:p>
    <w:p w14:paraId="67033EFA" w14:textId="77777777" w:rsidR="007912D7" w:rsidRPr="00D26922" w:rsidRDefault="007912D7"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 xml:space="preserve">By perpetuating ghost credential models, higher education institutions erode student well-being and place themselves in precarious regulatory and financial states. Addressing these intertwined challenges requires systemic transparency, risk-savvy governance, and genuine curricular reform. </w:t>
      </w:r>
      <w:r w:rsidRPr="00D26922">
        <w:rPr>
          <w:rFonts w:ascii="Times New Roman" w:hAnsi="Times New Roman" w:cs="Times New Roman"/>
          <w:color w:val="000000" w:themeColor="text1"/>
        </w:rPr>
        <w:lastRenderedPageBreak/>
        <w:t>Understanding why “academic ghost models” persist—despite mounting evidence of harm and risk—is essential to addressing the problem.</w:t>
      </w:r>
    </w:p>
    <w:p w14:paraId="0293D9E3" w14:textId="77777777" w:rsidR="00927D35" w:rsidRPr="00D26922" w:rsidRDefault="00927D35" w:rsidP="003F4F75">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Mechanisms of Persistence</w:t>
      </w:r>
    </w:p>
    <w:p w14:paraId="7D1A7D81" w14:textId="77777777" w:rsidR="00927D35" w:rsidRPr="00D26922" w:rsidRDefault="001C17D4"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‘Academic ghost models’ persist even amid intensifying demands for accountability, curriculum quality, and positive student experience. Their persistence is best explained by two reinforcing forces: administrative inertia and power dynamics, and structural retaliation against reform efforts.</w:t>
      </w:r>
    </w:p>
    <w:p w14:paraId="7C4DA5DD" w14:textId="77777777" w:rsidR="00927D35" w:rsidRPr="00D26922" w:rsidRDefault="00927D35" w:rsidP="003F4F75">
      <w:pPr>
        <w:spacing w:before="100" w:beforeAutospacing="1" w:after="100" w:afterAutospacing="1" w:line="240" w:lineRule="auto"/>
        <w:outlineLvl w:val="2"/>
        <w:rPr>
          <w:rFonts w:ascii="Times New Roman" w:eastAsia="Times New Roman" w:hAnsi="Times New Roman" w:cs="Times New Roman"/>
          <w:i/>
          <w:iCs/>
          <w:color w:val="000000" w:themeColor="text1"/>
          <w:kern w:val="0"/>
          <w14:ligatures w14:val="none"/>
        </w:rPr>
      </w:pPr>
      <w:r w:rsidRPr="00D26922">
        <w:rPr>
          <w:rFonts w:ascii="Times New Roman" w:eastAsia="Times New Roman" w:hAnsi="Times New Roman" w:cs="Times New Roman"/>
          <w:i/>
          <w:iCs/>
          <w:color w:val="000000" w:themeColor="text1"/>
          <w:kern w:val="0"/>
          <w14:ligatures w14:val="none"/>
        </w:rPr>
        <w:t>Administrative Inertia, Power Dynamics, and Lack of Oversight</w:t>
      </w:r>
    </w:p>
    <w:p w14:paraId="49E104B3" w14:textId="77777777" w:rsidR="00927D35" w:rsidRPr="00D26922" w:rsidRDefault="00927D3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Academic inertia refers to the resistance to change embedded within institutional cultures, where long-standing traditions, bureaucratic slowness, and legacy expectations overpower innovation (Elliott, 2024). This resistance sustains outdated course models even when their relevance has long since expired. Institutions with high </w:t>
      </w:r>
      <w:r w:rsidRPr="00D26922">
        <w:rPr>
          <w:rFonts w:ascii="Times New Roman" w:eastAsia="Times New Roman" w:hAnsi="Times New Roman" w:cs="Times New Roman"/>
          <w:b/>
          <w:bCs/>
          <w:color w:val="000000" w:themeColor="text1"/>
          <w:kern w:val="0"/>
          <w14:ligatures w14:val="none"/>
        </w:rPr>
        <w:t>administrative intensity</w:t>
      </w:r>
      <w:r w:rsidRPr="00D26922">
        <w:rPr>
          <w:rFonts w:ascii="Times New Roman" w:eastAsia="Times New Roman" w:hAnsi="Times New Roman" w:cs="Times New Roman"/>
          <w:color w:val="000000" w:themeColor="text1"/>
          <w:kern w:val="0"/>
          <w14:ligatures w14:val="none"/>
        </w:rPr>
        <w:t>—characterized by a growing ratio of staff to faculty—often face added complexity and inefficiency, reducing agility in curricular reform (Garrett, 2018).</w:t>
      </w:r>
    </w:p>
    <w:p w14:paraId="587E12C7" w14:textId="77777777" w:rsidR="00927D35" w:rsidRPr="00D26922" w:rsidRDefault="00927D3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Power dynamics further complicate matters. Faculty governance structures, while existing in theory, often hold limited sway over administrative decisions such as course design, credential structures, or curriculum mapping (Julius, 2022), especially in hierarchical institutions resistant to shared governance. The result is an environment sensitive to preserving status quos — preserving old models becomes easier than tackling reform.</w:t>
      </w:r>
    </w:p>
    <w:p w14:paraId="77A34EA1" w14:textId="77777777" w:rsidR="00927D35" w:rsidRPr="00D26922" w:rsidRDefault="00927D35"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Structural Bullying and Retaliation Against Reformers</w:t>
      </w:r>
    </w:p>
    <w:p w14:paraId="4F0C7DBC" w14:textId="77777777" w:rsidR="00751AAA" w:rsidRPr="00D26922" w:rsidRDefault="00927D3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t xml:space="preserve">Even when faculty or students attempt to raise concerns, entrenched systems may respond with backlash. Top-down curriculum change is a common model of change in higher education. When curriculum change is dictated at higher levels, faculty and students have apparently little agency in the change leading to frustration and sometimes, if the top end doesn’t agree or support the </w:t>
      </w:r>
      <w:proofErr w:type="gramStart"/>
      <w:r w:rsidRPr="00D26922">
        <w:rPr>
          <w:rFonts w:ascii="Times New Roman" w:hAnsi="Times New Roman" w:cs="Times New Roman"/>
          <w:color w:val="000000" w:themeColor="text1"/>
        </w:rPr>
        <w:t>change,  can</w:t>
      </w:r>
      <w:proofErr w:type="gramEnd"/>
      <w:r w:rsidRPr="00D26922">
        <w:rPr>
          <w:rFonts w:ascii="Times New Roman" w:hAnsi="Times New Roman" w:cs="Times New Roman"/>
          <w:color w:val="000000" w:themeColor="text1"/>
        </w:rPr>
        <w:t xml:space="preserve"> leave reformers open to academic bullying.</w:t>
      </w:r>
    </w:p>
    <w:p w14:paraId="2D4069E4" w14:textId="77777777" w:rsidR="00927D35" w:rsidRPr="00D26922" w:rsidRDefault="00751AAA"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Embarking on change, especially at ground level can also leave the reformers open to academic bullying. </w:t>
      </w:r>
      <w:r w:rsidR="00927D35" w:rsidRPr="00D26922">
        <w:rPr>
          <w:rFonts w:ascii="Times New Roman" w:eastAsia="Times New Roman" w:hAnsi="Times New Roman" w:cs="Times New Roman"/>
          <w:color w:val="000000" w:themeColor="text1"/>
          <w:kern w:val="0"/>
          <w14:ligatures w14:val="none"/>
        </w:rPr>
        <w:t xml:space="preserve">Academic bullying — including intimidation, career throttling, social isolation, and reputational sabotage — is more pervasive than often </w:t>
      </w:r>
      <w:proofErr w:type="gramStart"/>
      <w:r w:rsidR="00927D35" w:rsidRPr="00D26922">
        <w:rPr>
          <w:rFonts w:ascii="Times New Roman" w:eastAsia="Times New Roman" w:hAnsi="Times New Roman" w:cs="Times New Roman"/>
          <w:color w:val="000000" w:themeColor="text1"/>
          <w:kern w:val="0"/>
          <w14:ligatures w14:val="none"/>
        </w:rPr>
        <w:t>acknowledged, and</w:t>
      </w:r>
      <w:proofErr w:type="gramEnd"/>
      <w:r w:rsidR="00927D35" w:rsidRPr="00D26922">
        <w:rPr>
          <w:rFonts w:ascii="Times New Roman" w:eastAsia="Times New Roman" w:hAnsi="Times New Roman" w:cs="Times New Roman"/>
          <w:color w:val="000000" w:themeColor="text1"/>
          <w:kern w:val="0"/>
          <w14:ligatures w14:val="none"/>
        </w:rPr>
        <w:t xml:space="preserve"> is disproportionately deployed against those challenging institutional complacency (Wikipedia, 2025). In worst-case scenarios, reporting misconduct or advocating reforms can lead to retaliatory actions such as course cancellations, forced reassignment, or administrative reprimands — tactics that silence dissent and reinforce inertia.</w:t>
      </w:r>
    </w:p>
    <w:p w14:paraId="1B2B2C71" w14:textId="77777777" w:rsidR="00927D35" w:rsidRPr="00D26922" w:rsidRDefault="00927D3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Structural stigma further deepens the cycle. Scholars who push against prevailing models—especially those without institutional tenure or from marginalized backgrounds—often find their reputations tarnished or careers stalled, reinforcing institutional reluctance to accommodate challenges to orthodoxy (Nelson</w:t>
      </w:r>
      <w:r w:rsidR="00D56BB0" w:rsidRPr="00D26922">
        <w:rPr>
          <w:rFonts w:ascii="Times New Roman" w:eastAsia="Times New Roman" w:hAnsi="Times New Roman" w:cs="Times New Roman"/>
          <w:color w:val="000000" w:themeColor="text1"/>
          <w:kern w:val="0"/>
          <w14:ligatures w14:val="none"/>
        </w:rPr>
        <w:t xml:space="preserve"> et al.</w:t>
      </w:r>
      <w:r w:rsidRPr="00D26922">
        <w:rPr>
          <w:rFonts w:ascii="Times New Roman" w:eastAsia="Times New Roman" w:hAnsi="Times New Roman" w:cs="Times New Roman"/>
          <w:color w:val="000000" w:themeColor="text1"/>
          <w:kern w:val="0"/>
          <w14:ligatures w14:val="none"/>
        </w:rPr>
        <w:t>, 2024).</w:t>
      </w:r>
    </w:p>
    <w:p w14:paraId="6254B202" w14:textId="77777777" w:rsidR="00927D35" w:rsidRPr="00D26922" w:rsidRDefault="00927D3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lastRenderedPageBreak/>
        <w:t>By anchoring resistance to change in both bureaucratic dynamics and punitive behaviors, this section reveals why ghost models persist despite clear evidence of harm. Addressing them thus requires more than policy tweaks — it demands shifts in power structures, transparent governance protocols, and protections for those who speak truth to institutional power.</w:t>
      </w:r>
    </w:p>
    <w:p w14:paraId="6C8B3B71" w14:textId="712E9DAC" w:rsidR="00FC59CE" w:rsidRPr="00D26922" w:rsidRDefault="00FC59CE" w:rsidP="000434A1">
      <w:pPr>
        <w:pStyle w:val="NormalWeb"/>
        <w:rPr>
          <w:color w:val="000000" w:themeColor="text1"/>
        </w:rPr>
      </w:pPr>
      <w:r w:rsidRPr="00D26922">
        <w:rPr>
          <w:color w:val="000000" w:themeColor="text1"/>
        </w:rPr>
        <w:t xml:space="preserve">The role of “top leadership” in addressing issues of stale curriculum and practices cannot be understated. “The extent of professionalism of the top leadership and their capacity to embrace the rapid diversification, the learning paradigm </w:t>
      </w:r>
      <w:proofErr w:type="gramStart"/>
      <w:r w:rsidRPr="00D26922">
        <w:rPr>
          <w:color w:val="000000" w:themeColor="text1"/>
        </w:rPr>
        <w:t>shift</w:t>
      </w:r>
      <w:proofErr w:type="gramEnd"/>
      <w:r w:rsidRPr="00D26922">
        <w:rPr>
          <w:color w:val="000000" w:themeColor="text1"/>
        </w:rPr>
        <w:t xml:space="preserve"> and related challenges does matter. If substantive changes are to take place, a major re-evaluation of the required qualifications, skills and competencies of top leaders should mark the launch of changes” </w:t>
      </w:r>
      <w:sdt>
        <w:sdtPr>
          <w:rPr>
            <w:color w:val="000000" w:themeColor="text1"/>
          </w:rPr>
          <w:id w:val="-501823922"/>
          <w:citation/>
        </w:sdtPr>
        <w:sdtContent>
          <w:r w:rsidRPr="00D26922">
            <w:rPr>
              <w:color w:val="000000" w:themeColor="text1"/>
            </w:rPr>
            <w:fldChar w:fldCharType="begin"/>
          </w:r>
          <w:r w:rsidRPr="00D26922">
            <w:rPr>
              <w:color w:val="000000" w:themeColor="text1"/>
              <w:lang w:val="en-AU"/>
            </w:rPr>
            <w:instrText xml:space="preserve">CITATION Kar22 \p 20 \l 3081 </w:instrText>
          </w:r>
          <w:r w:rsidRPr="00D26922">
            <w:rPr>
              <w:color w:val="000000" w:themeColor="text1"/>
            </w:rPr>
            <w:fldChar w:fldCharType="separate"/>
          </w:r>
          <w:r w:rsidR="00C120FE" w:rsidRPr="00D26922">
            <w:rPr>
              <w:noProof/>
              <w:color w:val="000000" w:themeColor="text1"/>
              <w:lang w:val="en-AU"/>
            </w:rPr>
            <w:t>(Karakhanyan, 2022, p. 20)</w:t>
          </w:r>
          <w:r w:rsidRPr="00D26922">
            <w:rPr>
              <w:color w:val="000000" w:themeColor="text1"/>
            </w:rPr>
            <w:fldChar w:fldCharType="end"/>
          </w:r>
        </w:sdtContent>
      </w:sdt>
      <w:r w:rsidRPr="00D26922">
        <w:rPr>
          <w:color w:val="000000" w:themeColor="text1"/>
        </w:rPr>
        <w:t xml:space="preserve"> </w:t>
      </w:r>
    </w:p>
    <w:p w14:paraId="347440F5" w14:textId="77777777" w:rsidR="00542837" w:rsidRPr="00D26922" w:rsidRDefault="00542837"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Course Cancellations Mid-Semester &amp; Disruption to Students</w:t>
      </w:r>
    </w:p>
    <w:p w14:paraId="6AECC7D9" w14:textId="77777777" w:rsidR="00925AD3" w:rsidRPr="00D26922" w:rsidRDefault="00B34B51" w:rsidP="003F4F75">
      <w:pPr>
        <w:spacing w:before="100" w:beforeAutospacing="1" w:after="100" w:afterAutospacing="1" w:line="240" w:lineRule="auto"/>
        <w:outlineLvl w:val="2"/>
        <w:rPr>
          <w:rFonts w:ascii="Times New Roman" w:hAnsi="Times New Roman" w:cs="Times New Roman"/>
          <w:color w:val="000000" w:themeColor="text1"/>
        </w:rPr>
      </w:pPr>
      <w:r w:rsidRPr="00D26922">
        <w:rPr>
          <w:rStyle w:val="Emphasis"/>
          <w:rFonts w:ascii="Times New Roman" w:hAnsi="Times New Roman" w:cs="Times New Roman"/>
          <w:color w:val="000000" w:themeColor="text1"/>
        </w:rPr>
        <w:t>Course Cancellations Mid-Semester &amp; Disruption to Students</w:t>
      </w:r>
      <w:r w:rsidRPr="00D26922">
        <w:rPr>
          <w:rFonts w:ascii="Times New Roman" w:hAnsi="Times New Roman" w:cs="Times New Roman"/>
          <w:color w:val="000000" w:themeColor="text1"/>
        </w:rPr>
        <w:br/>
        <w:t>Abrupt mid-term course cancellations highlight how outdated academic models—often reliant on contingent or “ghost” faculty labor—directly harm students. At Columbia College Chicago, adjunct faculty strikes in 2023 led to hundreds of canceled courses. Students lost critical learning continuity and academic progress, while also bearing financial stress (Sainato, 2023). These cancellations reveal the fragility of institutional models that lean on precarious teaching arrangements instead of sustainable academic leadership—an echo of the “ghost” structures undermining higher education’s credibility.</w:t>
      </w:r>
    </w:p>
    <w:p w14:paraId="18BBCFAA" w14:textId="77777777" w:rsidR="00542837" w:rsidRPr="00D26922" w:rsidRDefault="00542837"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Retaliation Against Reform Advocates</w:t>
      </w:r>
    </w:p>
    <w:p w14:paraId="781A5BBC" w14:textId="77777777" w:rsidR="0091527B" w:rsidRPr="00D26922" w:rsidRDefault="002D3DCB" w:rsidP="003F4F75">
      <w:pPr>
        <w:spacing w:before="100" w:beforeAutospacing="1" w:after="100" w:afterAutospacing="1" w:line="240" w:lineRule="auto"/>
        <w:outlineLvl w:val="2"/>
        <w:rPr>
          <w:rFonts w:ascii="Times New Roman" w:hAnsi="Times New Roman" w:cs="Times New Roman"/>
          <w:color w:val="000000" w:themeColor="text1"/>
        </w:rPr>
      </w:pPr>
      <w:r w:rsidRPr="00D26922">
        <w:rPr>
          <w:rFonts w:ascii="Times New Roman" w:hAnsi="Times New Roman" w:cs="Times New Roman"/>
          <w:color w:val="000000" w:themeColor="text1"/>
        </w:rPr>
        <w:t>Academic whistleblowers often encounter harsh consequences. At Collin College, a long-serving history professor faced termination after publicly urging students to consider wearing masks—a case reflecting not just governance overreach, but how resistance to faculty advocacy suppresses curricular responsiveness to pressing public issues. Such retaliation ensures that curricula remain stagnant and disconnected from lived realities, creating toxic environments where students suffer from diminished morale and institutional credibility (Wikipedia, 2025).</w:t>
      </w:r>
    </w:p>
    <w:p w14:paraId="263E373B" w14:textId="77777777" w:rsidR="00542837" w:rsidRPr="00D26922" w:rsidRDefault="00542837"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Grievance Escalations to External Oversight</w:t>
      </w:r>
    </w:p>
    <w:p w14:paraId="3BD996B2" w14:textId="77777777" w:rsidR="009E59C5" w:rsidRPr="00D26922" w:rsidRDefault="00CE2FDA" w:rsidP="003F4F75">
      <w:pPr>
        <w:spacing w:before="100" w:beforeAutospacing="1" w:after="100" w:afterAutospacing="1" w:line="240" w:lineRule="auto"/>
        <w:outlineLvl w:val="2"/>
        <w:rPr>
          <w:rFonts w:ascii="Times New Roman" w:hAnsi="Times New Roman" w:cs="Times New Roman"/>
          <w:color w:val="000000" w:themeColor="text1"/>
        </w:rPr>
      </w:pPr>
      <w:r w:rsidRPr="00D26922">
        <w:rPr>
          <w:rFonts w:ascii="Times New Roman" w:hAnsi="Times New Roman" w:cs="Times New Roman"/>
          <w:color w:val="000000" w:themeColor="text1"/>
        </w:rPr>
        <w:t>When internal systems fail to address misconduct, escalation to external bodies becomes necessary. At Claremont McKenna College, a faculty member filed a grievance after being sidelined from teaching despite academic freedom protections. Beyond governance failure, this illustrates how institutional silencing prevents innovative voices from reshaping outdated curricula. Left unchecked, such practices entrench stagnation, erode confidence, and may even invite audit or legal review (Claremont Independent, 2025).</w:t>
      </w:r>
    </w:p>
    <w:p w14:paraId="2576F059" w14:textId="77777777" w:rsidR="00542837" w:rsidRPr="00D26922" w:rsidRDefault="00542837"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Audit-Triggered Leadership Fallout</w:t>
      </w:r>
    </w:p>
    <w:p w14:paraId="5EEF5D52" w14:textId="77777777" w:rsidR="00DD5C46" w:rsidRPr="00D26922" w:rsidRDefault="006070DA"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 xml:space="preserve">Accreditation and fiscal misconduct carry institutional risk—often precipitating leadership turnover. At Western New Mexico University, the president resigned after a state audit revealed improper spending of over $363,000, while another institution terminated several employees after misuse of nearly $700,000 in university funds (AP News, 2024). Such governance failures </w:t>
      </w:r>
      <w:r w:rsidRPr="00D26922">
        <w:rPr>
          <w:rFonts w:ascii="Times New Roman" w:hAnsi="Times New Roman" w:cs="Times New Roman"/>
          <w:color w:val="000000" w:themeColor="text1"/>
        </w:rPr>
        <w:lastRenderedPageBreak/>
        <w:t>directly undermine curricular renewal: when leadership attention shifts to damage control, institutions default to outdated programs and “ghost” academic models rather than investing in innovation and reform. Ghost credential models do more than impede educational quality. By hollowing out academic legitimacy, they create conditions where systemic breakdowns—such as course cancellations, faculty retaliation, grievance escalation, and even leadership ousting—become more likely. These are not isolated anomalies, but consequences of entrenched inertia and misaligned institutional priorities.</w:t>
      </w:r>
    </w:p>
    <w:p w14:paraId="1FDC0E93"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Artificial Intelligence as an Anti–Credential Conflation System: Why Generative AI Structurally Opposes Misalignment</w:t>
      </w:r>
    </w:p>
    <w:p w14:paraId="5827D393" w14:textId="77777777" w:rsidR="00364C0A" w:rsidRPr="00D26922" w:rsidRDefault="00364C0A"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noProof/>
          <w:color w:val="000000" w:themeColor="text1"/>
        </w:rPr>
        <w:drawing>
          <wp:inline distT="0" distB="0" distL="0" distR="0" wp14:anchorId="65AED767" wp14:editId="1ACDD63F">
            <wp:extent cx="5943600" cy="3566160"/>
            <wp:effectExtent l="0" t="0" r="0" b="0"/>
            <wp:docPr id="97120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0AEC94C2" w14:textId="77777777" w:rsidR="009861CD" w:rsidRPr="00D26922" w:rsidRDefault="009861CD" w:rsidP="003F4F75">
      <w:pPr>
        <w:pStyle w:val="NormalWeb"/>
        <w:rPr>
          <w:color w:val="000000" w:themeColor="text1"/>
        </w:rPr>
      </w:pPr>
      <w:r w:rsidRPr="00D26922">
        <w:rPr>
          <w:rFonts w:ascii="Segoe UI Emoji" w:hAnsi="Segoe UI Emoji" w:cs="Segoe UI Emoji"/>
          <w:color w:val="000000" w:themeColor="text1"/>
        </w:rPr>
        <w:t>🔴</w:t>
      </w:r>
      <w:r w:rsidRPr="00D26922">
        <w:rPr>
          <w:color w:val="000000" w:themeColor="text1"/>
        </w:rPr>
        <w:t xml:space="preserve"> The chart visually demonstrates that AI-structured systems score consistently high across alignment clarity, standards mapping, version control, and rigor transparency. In contrast, academic ghost models exhibit systemic weaknesses in these same domains, reflecting structural misalignment and opacity.</w:t>
      </w:r>
    </w:p>
    <w:p w14:paraId="31138E99" w14:textId="77777777" w:rsidR="009861CD" w:rsidRPr="00D26922" w:rsidRDefault="009861CD" w:rsidP="003F4F75">
      <w:pPr>
        <w:pStyle w:val="NormalWeb"/>
        <w:rPr>
          <w:color w:val="000000" w:themeColor="text1"/>
        </w:rPr>
      </w:pPr>
      <w:r w:rsidRPr="00D26922">
        <w:rPr>
          <w:rFonts w:ascii="Segoe UI Emoji" w:hAnsi="Segoe UI Emoji" w:cs="Segoe UI Emoji"/>
          <w:color w:val="000000" w:themeColor="text1"/>
        </w:rPr>
        <w:t>🔴</w:t>
      </w:r>
      <w:r w:rsidRPr="00D26922">
        <w:rPr>
          <w:color w:val="000000" w:themeColor="text1"/>
        </w:rPr>
        <w:t xml:space="preserve"> Notably, version control and standards mapping show the greatest divergence. AI systems depend on real-time documentation, metadata integrity, and hierarchical competency mapping. Ghost models persist through stagnation and documentation drift.</w:t>
      </w:r>
    </w:p>
    <w:p w14:paraId="56525F4B" w14:textId="77777777" w:rsidR="009861CD" w:rsidRPr="00D26922" w:rsidRDefault="009861CD" w:rsidP="003F4F75">
      <w:pPr>
        <w:pStyle w:val="NormalWeb"/>
        <w:rPr>
          <w:color w:val="000000" w:themeColor="text1"/>
        </w:rPr>
      </w:pPr>
      <w:r w:rsidRPr="00D26922">
        <w:rPr>
          <w:rFonts w:ascii="Segoe UI Emoji" w:hAnsi="Segoe UI Emoji" w:cs="Segoe UI Emoji"/>
          <w:color w:val="000000" w:themeColor="text1"/>
        </w:rPr>
        <w:t>🔴</w:t>
      </w:r>
      <w:r w:rsidRPr="00D26922">
        <w:rPr>
          <w:color w:val="000000" w:themeColor="text1"/>
        </w:rPr>
        <w:t xml:space="preserve"> The disparity in citation currency and rigor transparency illustrates why AI environments cannot sustain outdated syllabi or inflated credential claims. AI’s architecture requires definitional precision and measurable outcomes.</w:t>
      </w:r>
    </w:p>
    <w:p w14:paraId="311EA6AD" w14:textId="77777777" w:rsidR="009861CD" w:rsidRPr="00D26922" w:rsidRDefault="009861CD" w:rsidP="003F4F75">
      <w:pPr>
        <w:pStyle w:val="NormalWeb"/>
        <w:rPr>
          <w:color w:val="000000" w:themeColor="text1"/>
        </w:rPr>
      </w:pPr>
      <w:r w:rsidRPr="00D26922">
        <w:rPr>
          <w:rFonts w:ascii="Segoe UI Emoji" w:hAnsi="Segoe UI Emoji" w:cs="Segoe UI Emoji"/>
          <w:color w:val="000000" w:themeColor="text1"/>
        </w:rPr>
        <w:lastRenderedPageBreak/>
        <w:t>🔴</w:t>
      </w:r>
      <w:r w:rsidRPr="00D26922">
        <w:rPr>
          <w:color w:val="000000" w:themeColor="text1"/>
        </w:rPr>
        <w:t xml:space="preserve"> This structural contrast reinforces the core thesis: generative AI, when properly governed, functions as an institutional integrity mechanism rather than a destabilizing force. Where credential conflation relies on ambiguity, AI demands clarity.</w:t>
      </w:r>
    </w:p>
    <w:p w14:paraId="7FECF9EF"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The emergence of generative artificial intelligence (AI) in education has intensified debates around academic integrity, authorship, and credential legitimacy. Critics frequently focus on risks—plagiarism, overreliance, automation of thinking. Yet less examined is a critical structural reality: modern AI systems are fundamentally designed around alignment, traceability, metadata transparency, and standards mapping. In that sense, generative AI—when properly deployed—is inherently incompatible with credential misalignment and conflation. Where academic ghost models obscure course objectives, blur rigor distinctions, or misrepresent instructional depth, AI systems instead demand definitional clarity, outcome specification, and structural consistency.</w:t>
      </w:r>
    </w:p>
    <w:p w14:paraId="413D43C7" w14:textId="1C73632C"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In practice, AI strengthens credential integrity by forcing institutions to translate broad claims (e.g., “graduate-level rigor”) into auditable artifacts: measurable outcomes, rubric criteria, exemplar work products, and evidence of instructional contact hours and assessment load. When these artifacts do not align, AI-enabled review tools surface the mismatch through structured checks such as outcome-to-assessment mapping, task-complexity profiling, and cross-document consistency validation. This is why credential conflation becomes harder to sustain once AI is integrated into curriculum management systems.</w:t>
      </w:r>
    </w:p>
    <w:p w14:paraId="665E102B"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This section argues that contemporary AI architectures, assessment systems, and standards-aligned analytics frameworks reinforce—not undermine—credential integrity. In fact, AI exposes the very weaknesses embedded in outdated or conflated credential structures.</w:t>
      </w:r>
    </w:p>
    <w:p w14:paraId="419F2A85" w14:textId="11B03DD1"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AI-supported governance increases traceability by logging prompts, rubric versions, learning-objective IDs, and assessment revisions over time. That audit trail strengthens continuous-improvement evidence for accreditors and reduces the ability to retroactively justify outdated syllabi or inflated outcomes without corresponding documentation. AI thereby shifts curriculum oversight from informal assurances to verifiable records.</w:t>
      </w:r>
    </w:p>
    <w:p w14:paraId="122F158C"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AI Systems Operate on Explicit Alignment Structures</w:t>
      </w:r>
    </w:p>
    <w:p w14:paraId="335A5E8C" w14:textId="3140428F"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Alignment becomes a set of machine-checkable relationships. Each outcome should map to at least one assessment task, each task should map to a rubric row, and each rubric row should map to observable student evidence. When a syllabus lists outcomes that are never assessed, or when assessments evaluate skills not claimed in the syllabus, AI-based mapping exposes the gap. This capability counters credential inflation by tying program claims to documented student performance.</w:t>
      </w:r>
    </w:p>
    <w:p w14:paraId="2CE9EDAA"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Modern generative AI and learning analytics systems function through structured alignment models. Instructional AI tools require:</w:t>
      </w:r>
    </w:p>
    <w:p w14:paraId="254F4D34" w14:textId="77777777" w:rsidR="00131676" w:rsidRPr="00D26922" w:rsidRDefault="00131676" w:rsidP="003F4F75">
      <w:pPr>
        <w:numPr>
          <w:ilvl w:val="0"/>
          <w:numId w:val="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lastRenderedPageBreak/>
        <w:t>Defined learning outcomes</w:t>
      </w:r>
    </w:p>
    <w:p w14:paraId="6E519170" w14:textId="77777777" w:rsidR="00131676" w:rsidRPr="00D26922" w:rsidRDefault="00131676" w:rsidP="003F4F75">
      <w:pPr>
        <w:numPr>
          <w:ilvl w:val="0"/>
          <w:numId w:val="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Clear assessment parameters</w:t>
      </w:r>
    </w:p>
    <w:p w14:paraId="4A4575D1" w14:textId="77777777" w:rsidR="00131676" w:rsidRPr="00D26922" w:rsidRDefault="00131676" w:rsidP="003F4F75">
      <w:pPr>
        <w:numPr>
          <w:ilvl w:val="0"/>
          <w:numId w:val="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Explicit competency mapping</w:t>
      </w:r>
    </w:p>
    <w:p w14:paraId="65C59DC7" w14:textId="77777777" w:rsidR="00131676" w:rsidRPr="00D26922" w:rsidRDefault="00131676" w:rsidP="003F4F75">
      <w:pPr>
        <w:numPr>
          <w:ilvl w:val="0"/>
          <w:numId w:val="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Transparent rubrics</w:t>
      </w:r>
    </w:p>
    <w:p w14:paraId="6942C6BD" w14:textId="77777777" w:rsidR="00131676" w:rsidRPr="00D26922" w:rsidRDefault="00131676" w:rsidP="003F4F75">
      <w:pPr>
        <w:numPr>
          <w:ilvl w:val="0"/>
          <w:numId w:val="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Version-controlled curriculum documentation</w:t>
      </w:r>
    </w:p>
    <w:p w14:paraId="41CF2CA2"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 xml:space="preserve">The U.S. Department of Education (2023), in its report </w:t>
      </w:r>
      <w:r w:rsidRPr="00D26922">
        <w:rPr>
          <w:rFonts w:ascii="Times New Roman" w:hAnsi="Times New Roman" w:cs="Times New Roman"/>
          <w:i/>
          <w:iCs/>
          <w:color w:val="000000" w:themeColor="text1"/>
        </w:rPr>
        <w:t>Artificial Intelligence and the Future of Teaching and Learning</w:t>
      </w:r>
      <w:r w:rsidRPr="00D26922">
        <w:rPr>
          <w:rFonts w:ascii="Times New Roman" w:hAnsi="Times New Roman" w:cs="Times New Roman"/>
          <w:color w:val="000000" w:themeColor="text1"/>
        </w:rPr>
        <w:t>, emphasizes that AI applications in education must be anchored in clearly defined learning objectives and measurable outcomes. AI systems cannot function meaningfully in environments where course outcomes are vague, conflated, or misaligned. If a graduate credential claims advanced-level synthesis while course materials remain undergraduate-level, AI systems trained to detect taxonomy levels, lexical complexity, and conceptual depth will flag the inconsistency.</w:t>
      </w:r>
    </w:p>
    <w:p w14:paraId="43F012E0"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 xml:space="preserve">Similarly, UNESCO’s (2023) </w:t>
      </w:r>
      <w:r w:rsidRPr="00D26922">
        <w:rPr>
          <w:rFonts w:ascii="Times New Roman" w:hAnsi="Times New Roman" w:cs="Times New Roman"/>
          <w:i/>
          <w:iCs/>
          <w:color w:val="000000" w:themeColor="text1"/>
        </w:rPr>
        <w:t>Guidance for Generative AI in Education and Research</w:t>
      </w:r>
      <w:r w:rsidRPr="00D26922">
        <w:rPr>
          <w:rFonts w:ascii="Times New Roman" w:hAnsi="Times New Roman" w:cs="Times New Roman"/>
          <w:color w:val="000000" w:themeColor="text1"/>
        </w:rPr>
        <w:t xml:space="preserve"> underscores the importance of alignment between AI-supported instruction and institutional standards. AI systems depend on coherence between curriculum frameworks and assessment instruments. When credentials are conflated—such as when course descriptions, credit units, and instructional depth do not correspond—AI-based analytics cannot map competencies accurately. The system breaks.</w:t>
      </w:r>
    </w:p>
    <w:p w14:paraId="6C10F4E9"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Thus, generative AI structurally resists credential misalignment because it requires structured, hierarchical learning taxonomies to operate effectively.</w:t>
      </w:r>
    </w:p>
    <w:p w14:paraId="6190912B"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color w:val="000000" w:themeColor="text1"/>
        </w:rPr>
        <w:t>AI Reveals Rigor Inconsistencies Through Bloom-Level Detection</w:t>
      </w:r>
    </w:p>
    <w:p w14:paraId="021E08A6" w14:textId="0946344E"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Beyond Bloom-level verbs, AI tools can profile assignments for rigor indicators such as required integration of peer-reviewed sources, methodological reasoning, counterargument handling, and discipline-specific conventions. If a course repeatedly assigns low-complexity tasks while advertising advanced outcomes, AI-driven profiling shows the mismatch through objective task features. This makes “graduate” labels easier to verify—or to challenge—using consistent criteria.</w:t>
      </w:r>
    </w:p>
    <w:p w14:paraId="553E7C9B"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One overlooked feature of advanced language models is their ability to analyze cognitive complexity. Generative AI systems can distinguish between:</w:t>
      </w:r>
    </w:p>
    <w:p w14:paraId="593F17E8" w14:textId="77777777" w:rsidR="00131676" w:rsidRPr="00D26922" w:rsidRDefault="00131676" w:rsidP="003F4F75">
      <w:pPr>
        <w:numPr>
          <w:ilvl w:val="0"/>
          <w:numId w:val="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Recall-level prompts</w:t>
      </w:r>
    </w:p>
    <w:p w14:paraId="648508B4" w14:textId="77777777" w:rsidR="00131676" w:rsidRPr="00D26922" w:rsidRDefault="00131676" w:rsidP="003F4F75">
      <w:pPr>
        <w:numPr>
          <w:ilvl w:val="0"/>
          <w:numId w:val="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Application-level exercises</w:t>
      </w:r>
    </w:p>
    <w:p w14:paraId="5EABD108" w14:textId="77777777" w:rsidR="00131676" w:rsidRPr="00D26922" w:rsidRDefault="00131676" w:rsidP="003F4F75">
      <w:pPr>
        <w:numPr>
          <w:ilvl w:val="0"/>
          <w:numId w:val="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Analysis and evaluation tasks</w:t>
      </w:r>
    </w:p>
    <w:p w14:paraId="007F127A" w14:textId="77777777" w:rsidR="00131676" w:rsidRPr="00D26922" w:rsidRDefault="00131676" w:rsidP="003F4F75">
      <w:pPr>
        <w:numPr>
          <w:ilvl w:val="0"/>
          <w:numId w:val="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Synthesis-level production</w:t>
      </w:r>
    </w:p>
    <w:p w14:paraId="25F47B62"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If a graduate-level syllabus repeatedly generates assignments that align with lower-order cognitive skills, AI-assisted curricular audits can identify this discrepancy. Bloom’s Taxonomy alignment detection is now common in curriculum analytics platforms (OECD, 2023).</w:t>
      </w:r>
    </w:p>
    <w:p w14:paraId="2F2E26C3"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lastRenderedPageBreak/>
        <w:t>Where credential conflation allows institutions to label courses as “advanced” without advanced cognitive engagement, AI exposes this inflation. For example:</w:t>
      </w:r>
    </w:p>
    <w:p w14:paraId="1891C2BF" w14:textId="77777777" w:rsidR="00131676" w:rsidRPr="00D26922" w:rsidRDefault="00131676" w:rsidP="003F4F75">
      <w:pPr>
        <w:numPr>
          <w:ilvl w:val="0"/>
          <w:numId w:val="10"/>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If assignments cluster around summary and identification tasks, AI tools detect the lexical and structural markers of lower cognitive demand.</w:t>
      </w:r>
    </w:p>
    <w:p w14:paraId="2AE8E88D" w14:textId="77777777" w:rsidR="00131676" w:rsidRPr="00D26922" w:rsidRDefault="00131676" w:rsidP="003F4F75">
      <w:pPr>
        <w:numPr>
          <w:ilvl w:val="0"/>
          <w:numId w:val="10"/>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If citation expectations remain outdated (e.g., obsolete APA versions), AI systems trained on current standards will identify inconsistencies automatically.</w:t>
      </w:r>
    </w:p>
    <w:p w14:paraId="442E2C2C"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does not tolerate ambiguity in standards frameworks. It depends on precision. In this way, it serves as an integrity amplifier.</w:t>
      </w:r>
    </w:p>
    <w:p w14:paraId="3A6165FE"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color w:val="000000" w:themeColor="text1"/>
        </w:rPr>
        <w:t>AI Systems Depend on Version Control and Citation Currency</w:t>
      </w:r>
    </w:p>
    <w:p w14:paraId="4592A6E0" w14:textId="65514B55"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With versioned syllabi, rubrics, and program maps, an institution can show when updates occurred, what changed, and why. AI-enabled systems can compare versions to detect drift and highlight uncorrected conflicts (e.g., outcomes updated in one document but not others). This supports timely remediation—updating readings, revising assessment weights, and correcting unit-to-outcome mappings—before misalignment becomes systemic.</w:t>
      </w:r>
    </w:p>
    <w:p w14:paraId="2618C4E8"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Credential misalignment frequently manifests through outdated syllabi, obsolete textbooks, and archaic citation practices. Generative AI ecosystems, however, operate on version-tracked documentation. Most institutional AI integrations now include:</w:t>
      </w:r>
    </w:p>
    <w:p w14:paraId="1F46B07B" w14:textId="77777777" w:rsidR="00131676" w:rsidRPr="00D26922" w:rsidRDefault="00131676" w:rsidP="003F4F75">
      <w:pPr>
        <w:numPr>
          <w:ilvl w:val="0"/>
          <w:numId w:val="1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Document version history</w:t>
      </w:r>
    </w:p>
    <w:p w14:paraId="75ED1AFF" w14:textId="77777777" w:rsidR="00131676" w:rsidRPr="00D26922" w:rsidRDefault="00131676" w:rsidP="003F4F75">
      <w:pPr>
        <w:numPr>
          <w:ilvl w:val="0"/>
          <w:numId w:val="1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Timestamp metadata</w:t>
      </w:r>
    </w:p>
    <w:p w14:paraId="2431B14F" w14:textId="77777777" w:rsidR="00131676" w:rsidRPr="00D26922" w:rsidRDefault="00131676" w:rsidP="003F4F75">
      <w:pPr>
        <w:numPr>
          <w:ilvl w:val="0"/>
          <w:numId w:val="1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Citation verification checks</w:t>
      </w:r>
    </w:p>
    <w:p w14:paraId="216BE32A" w14:textId="77777777" w:rsidR="00131676" w:rsidRPr="00D26922" w:rsidRDefault="00131676" w:rsidP="003F4F75">
      <w:pPr>
        <w:numPr>
          <w:ilvl w:val="0"/>
          <w:numId w:val="1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Bias and outdated-source detection</w:t>
      </w:r>
    </w:p>
    <w:p w14:paraId="42F69654"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The American Psychological Association (2023) clarified the importance of currency and bias-free language in APA 7th edition guidelines. AI citation tools are trained on these updated standards. When institutions require outdated citation frameworks, AI-supported compliance systems flag deviations from current academic norms.</w:t>
      </w:r>
    </w:p>
    <w:p w14:paraId="08F1E6B7"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Moreover, large language models rely on training data that reflects contemporary scholarship patterns. Outdated instructional materials produce lexical signals that AI systems recognize as temporally misaligned. AI’s predictive mechanisms operate probabilistically; when confronted with obsolete terminology or frameworks, the deviation becomes statistically apparent.</w:t>
      </w:r>
    </w:p>
    <w:p w14:paraId="432CB7EC"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Thus, generative AI functions as a structural safeguard against curriculum stagnation.</w:t>
      </w:r>
    </w:p>
    <w:p w14:paraId="2598B07A"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AI Requires Transparent Competency Mapping</w:t>
      </w:r>
    </w:p>
    <w:p w14:paraId="6DB706B1" w14:textId="7AC3E227"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 xml:space="preserve">Competency mapping detects duplication and hollow coverage. If multiple courses claim the same competencies without progression, AI highlights redundancy. If a credential claims breadth but competency coverage is thin, AI highlights uncovered domains. These checks are especially </w:t>
      </w:r>
      <w:r w:rsidRPr="00D26922">
        <w:rPr>
          <w:rFonts w:ascii="Times New Roman" w:hAnsi="Times New Roman" w:cs="Times New Roman"/>
          <w:color w:val="000000" w:themeColor="text1"/>
        </w:rPr>
        <w:lastRenderedPageBreak/>
        <w:t>important in credential programs where each unit must have a defensible purpose and where conflation occurs when distinct competencies are merged under a single course label.</w:t>
      </w:r>
    </w:p>
    <w:p w14:paraId="2188B45B"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Credential conflation often emerges from vague competency articulation. When learning outcomes are written broadly—e.g., “students will understand leadership”—without measurable behavioral indicators, programmatic misalignment becomes easier to conceal.</w:t>
      </w:r>
    </w:p>
    <w:p w14:paraId="147BCADF"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systems, by contrast, require:</w:t>
      </w:r>
    </w:p>
    <w:p w14:paraId="6C228F3F" w14:textId="77777777" w:rsidR="00131676" w:rsidRPr="00D26922" w:rsidRDefault="00131676" w:rsidP="003F4F75">
      <w:pPr>
        <w:numPr>
          <w:ilvl w:val="0"/>
          <w:numId w:val="1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Measurable verbs</w:t>
      </w:r>
    </w:p>
    <w:p w14:paraId="04DE539C" w14:textId="77777777" w:rsidR="00131676" w:rsidRPr="00D26922" w:rsidRDefault="00131676" w:rsidP="003F4F75">
      <w:pPr>
        <w:numPr>
          <w:ilvl w:val="0"/>
          <w:numId w:val="1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Observable outputs</w:t>
      </w:r>
    </w:p>
    <w:p w14:paraId="603A348D" w14:textId="77777777" w:rsidR="00131676" w:rsidRPr="00D26922" w:rsidRDefault="00131676" w:rsidP="003F4F75">
      <w:pPr>
        <w:numPr>
          <w:ilvl w:val="0"/>
          <w:numId w:val="1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Competency matrices</w:t>
      </w:r>
    </w:p>
    <w:p w14:paraId="33FEFDDC" w14:textId="77777777" w:rsidR="00131676" w:rsidRPr="00D26922" w:rsidRDefault="00131676" w:rsidP="003F4F75">
      <w:pPr>
        <w:numPr>
          <w:ilvl w:val="0"/>
          <w:numId w:val="1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Rubric-based scoring systems</w:t>
      </w:r>
    </w:p>
    <w:p w14:paraId="585DA555"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The OECD (2023) reports that AI in education increasingly relies on competency-based models tied to granular skill taxonomies. Without precise outcome definitions, AI-based feedback systems cannot function. Conflated credentials—where course credit hours, rigor, and outcomes lack coherence—produce systemic misalignment detectable through AI-supported audits.</w:t>
      </w:r>
    </w:p>
    <w:p w14:paraId="1B9C8180"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In fact, AI-assisted program evaluation now includes:</w:t>
      </w:r>
    </w:p>
    <w:p w14:paraId="5E20DA40" w14:textId="77777777" w:rsidR="00131676" w:rsidRPr="00D26922" w:rsidRDefault="00131676" w:rsidP="003F4F75">
      <w:pPr>
        <w:numPr>
          <w:ilvl w:val="0"/>
          <w:numId w:val="13"/>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Skill gap analysis</w:t>
      </w:r>
    </w:p>
    <w:p w14:paraId="2D619F6B" w14:textId="77777777" w:rsidR="00131676" w:rsidRPr="00D26922" w:rsidRDefault="00131676" w:rsidP="003F4F75">
      <w:pPr>
        <w:numPr>
          <w:ilvl w:val="0"/>
          <w:numId w:val="13"/>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Outcome coverage mapping</w:t>
      </w:r>
    </w:p>
    <w:p w14:paraId="152DA15E" w14:textId="77777777" w:rsidR="00131676" w:rsidRPr="00D26922" w:rsidRDefault="00131676" w:rsidP="003F4F75">
      <w:pPr>
        <w:numPr>
          <w:ilvl w:val="0"/>
          <w:numId w:val="13"/>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Redundancy detection</w:t>
      </w:r>
    </w:p>
    <w:p w14:paraId="1294504B" w14:textId="77777777" w:rsidR="00131676" w:rsidRPr="00D26922" w:rsidRDefault="00131676" w:rsidP="003F4F75">
      <w:pPr>
        <w:numPr>
          <w:ilvl w:val="0"/>
          <w:numId w:val="13"/>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Overlap identification</w:t>
      </w:r>
    </w:p>
    <w:p w14:paraId="5ED9091D"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These functions directly counteract the persistence of ghost credential structures.</w:t>
      </w:r>
    </w:p>
    <w:p w14:paraId="473F7C65"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AI Discourages Inflated Credential Claims</w:t>
      </w:r>
    </w:p>
    <w:p w14:paraId="699406E1"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Generative AI systems are trained on large corpora of peer-reviewed academic texts. They have internalized patterns of disciplinary rigor, citation density, methodological structure, and theoretical framing.</w:t>
      </w:r>
    </w:p>
    <w:p w14:paraId="6ED8DDEC"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When an institution claims that a credential reflects advanced mastery but coursework lacks:</w:t>
      </w:r>
    </w:p>
    <w:p w14:paraId="10C68E10" w14:textId="77777777" w:rsidR="00131676" w:rsidRPr="00D26922" w:rsidRDefault="00131676" w:rsidP="003F4F75">
      <w:pPr>
        <w:numPr>
          <w:ilvl w:val="0"/>
          <w:numId w:val="14"/>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Empirical research engagement</w:t>
      </w:r>
    </w:p>
    <w:p w14:paraId="2C44C1DF" w14:textId="77777777" w:rsidR="00131676" w:rsidRPr="00D26922" w:rsidRDefault="00131676" w:rsidP="003F4F75">
      <w:pPr>
        <w:numPr>
          <w:ilvl w:val="0"/>
          <w:numId w:val="14"/>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Peer-reviewed citation density</w:t>
      </w:r>
    </w:p>
    <w:p w14:paraId="64CE5B7B" w14:textId="77777777" w:rsidR="00131676" w:rsidRPr="00D26922" w:rsidRDefault="00131676" w:rsidP="003F4F75">
      <w:pPr>
        <w:numPr>
          <w:ilvl w:val="0"/>
          <w:numId w:val="14"/>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Methodological complexity</w:t>
      </w:r>
    </w:p>
    <w:p w14:paraId="5B9864DC" w14:textId="77777777" w:rsidR="00131676" w:rsidRPr="00D26922" w:rsidRDefault="00131676" w:rsidP="003F4F75">
      <w:pPr>
        <w:numPr>
          <w:ilvl w:val="0"/>
          <w:numId w:val="14"/>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Analytical synthesis</w:t>
      </w:r>
    </w:p>
    <w:p w14:paraId="00622A56"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systems trained to generate or evaluate advanced-level responses expose the discrepancy. For example:</w:t>
      </w:r>
    </w:p>
    <w:p w14:paraId="50FED39F" w14:textId="77777777" w:rsidR="00131676" w:rsidRPr="00D26922" w:rsidRDefault="00131676" w:rsidP="003F4F75">
      <w:pPr>
        <w:numPr>
          <w:ilvl w:val="0"/>
          <w:numId w:val="15"/>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can generate a model graduate-level response to a given prompt.</w:t>
      </w:r>
    </w:p>
    <w:p w14:paraId="5B09654F" w14:textId="77777777" w:rsidR="00131676" w:rsidRPr="00D26922" w:rsidRDefault="00131676" w:rsidP="003F4F75">
      <w:pPr>
        <w:numPr>
          <w:ilvl w:val="0"/>
          <w:numId w:val="15"/>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lastRenderedPageBreak/>
        <w:t>If student assignments in a “graduate” course consistently fall below that model in structural complexity, the misalignment becomes measurable.</w:t>
      </w:r>
    </w:p>
    <w:p w14:paraId="12807B2B"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does not create credential inflation; it reveals it.</w:t>
      </w:r>
    </w:p>
    <w:p w14:paraId="6601D093"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AI-Based Audits Support Accreditation Compliance</w:t>
      </w:r>
    </w:p>
    <w:p w14:paraId="6EAB7AD4" w14:textId="47C7F00C"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AI-assisted audits can generate practical evidence packages, including an outcome-to-assessment matrix, a standards crosswalk, a syllabus currency report (readings and citation standard versions), and a consistency report aligning catalog description, syllabus outcomes, and assessed tasks. These artifacts translate compliance into evidence that can be sampled, verified, and tracked across improvement cycles.</w:t>
      </w:r>
    </w:p>
    <w:p w14:paraId="439418A4"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Accrediting bodies increasingly require documentation of continuous improvement, alignment with standards, and data-supported revision processes. AI systems enhance:</w:t>
      </w:r>
    </w:p>
    <w:p w14:paraId="23822EB6" w14:textId="77777777" w:rsidR="00131676" w:rsidRPr="00D26922" w:rsidRDefault="00131676" w:rsidP="003F4F75">
      <w:pPr>
        <w:numPr>
          <w:ilvl w:val="0"/>
          <w:numId w:val="16"/>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Learning outcome tracking</w:t>
      </w:r>
    </w:p>
    <w:p w14:paraId="5446BB81" w14:textId="77777777" w:rsidR="00131676" w:rsidRPr="00D26922" w:rsidRDefault="00131676" w:rsidP="003F4F75">
      <w:pPr>
        <w:numPr>
          <w:ilvl w:val="0"/>
          <w:numId w:val="16"/>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Diagnostic growth measurement</w:t>
      </w:r>
    </w:p>
    <w:p w14:paraId="38943754" w14:textId="77777777" w:rsidR="00131676" w:rsidRPr="00D26922" w:rsidRDefault="00131676" w:rsidP="003F4F75">
      <w:pPr>
        <w:numPr>
          <w:ilvl w:val="0"/>
          <w:numId w:val="16"/>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Alignment analytics</w:t>
      </w:r>
    </w:p>
    <w:p w14:paraId="291B67D6" w14:textId="77777777" w:rsidR="00131676" w:rsidRPr="00D26922" w:rsidRDefault="00131676" w:rsidP="003F4F75">
      <w:pPr>
        <w:numPr>
          <w:ilvl w:val="0"/>
          <w:numId w:val="16"/>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Standardized rubric enforcement</w:t>
      </w:r>
    </w:p>
    <w:p w14:paraId="1B6B39D0"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The U.S. Department of Education (2023) explicitly notes that AI tools can support evidence-based improvement cycles when deployed responsibly. UNESCO (2023) similarly emphasizes that AI integration must reinforce transparency and accountability in educational governance.</w:t>
      </w:r>
    </w:p>
    <w:p w14:paraId="7B959575"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In environments where credential conflation persists, AI-assisted documentation systems make concealment difficult. Misalignment between stated outcomes and instructional artifacts becomes computationally visible.</w:t>
      </w:r>
    </w:p>
    <w:p w14:paraId="3493B2D9"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Thus, AI does not support credential ghosting; it operationally disrupts it.</w:t>
      </w:r>
    </w:p>
    <w:p w14:paraId="214106BA"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AI Is Structurally Anti-Conflation Because It Is Data-Dependent</w:t>
      </w:r>
    </w:p>
    <w:p w14:paraId="56ABC385" w14:textId="5C50DC31" w:rsidR="00A31EE8" w:rsidRPr="00D26922" w:rsidRDefault="00860E9C" w:rsidP="003F4F75">
      <w:pPr>
        <w:rPr>
          <w:rFonts w:ascii="Times New Roman" w:hAnsi="Times New Roman" w:cs="Times New Roman"/>
          <w:color w:val="000000" w:themeColor="text1"/>
        </w:rPr>
      </w:pPr>
      <w:r w:rsidRPr="00D26922">
        <w:rPr>
          <w:rFonts w:ascii="Times New Roman" w:hAnsi="Times New Roman" w:cs="Times New Roman"/>
          <w:color w:val="000000" w:themeColor="text1"/>
        </w:rPr>
        <w:t>AI highlights contradictions in institutional records—course numbers, units, prerequisites, catalog language, and program maps. When these records conflict, the system cannot reliably personalize instruction, evaluate competencies, or report outcomes. AI integration therefore creates an incentive to reconcile contradictions and clean data, which is the opposite of credential ghosting.</w:t>
      </w:r>
    </w:p>
    <w:p w14:paraId="167896C4"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Credential conflation thrives in ambiguity. AI cannot function in ambiguity.</w:t>
      </w:r>
    </w:p>
    <w:p w14:paraId="2B3CA1B0"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Large language models, analytics platforms, and adaptive learning systems require structured data inputs. Conflated credentials often involve:</w:t>
      </w:r>
    </w:p>
    <w:p w14:paraId="5013B786" w14:textId="77777777" w:rsidR="00131676" w:rsidRPr="00D26922" w:rsidRDefault="00131676" w:rsidP="003F4F75">
      <w:pPr>
        <w:numPr>
          <w:ilvl w:val="0"/>
          <w:numId w:val="17"/>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Misclassified credit hours</w:t>
      </w:r>
    </w:p>
    <w:p w14:paraId="1F7480AD" w14:textId="77777777" w:rsidR="00131676" w:rsidRPr="00D26922" w:rsidRDefault="00131676" w:rsidP="003F4F75">
      <w:pPr>
        <w:numPr>
          <w:ilvl w:val="0"/>
          <w:numId w:val="17"/>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lastRenderedPageBreak/>
        <w:t>Vague performance benchmarks</w:t>
      </w:r>
    </w:p>
    <w:p w14:paraId="53791D07" w14:textId="77777777" w:rsidR="00131676" w:rsidRPr="00D26922" w:rsidRDefault="00131676" w:rsidP="003F4F75">
      <w:pPr>
        <w:numPr>
          <w:ilvl w:val="0"/>
          <w:numId w:val="17"/>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Inflated program descriptions</w:t>
      </w:r>
    </w:p>
    <w:p w14:paraId="685B6783" w14:textId="77777777" w:rsidR="00131676" w:rsidRPr="00D26922" w:rsidRDefault="00131676" w:rsidP="003F4F75">
      <w:pPr>
        <w:numPr>
          <w:ilvl w:val="0"/>
          <w:numId w:val="17"/>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Non-updated curriculum documentation</w:t>
      </w:r>
    </w:p>
    <w:p w14:paraId="159F01DB"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systems require:</w:t>
      </w:r>
    </w:p>
    <w:p w14:paraId="1016EC4E" w14:textId="77777777" w:rsidR="00131676" w:rsidRPr="00D26922" w:rsidRDefault="00131676" w:rsidP="003F4F75">
      <w:pPr>
        <w:numPr>
          <w:ilvl w:val="0"/>
          <w:numId w:val="1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Data integrity</w:t>
      </w:r>
    </w:p>
    <w:p w14:paraId="5A741339" w14:textId="77777777" w:rsidR="00131676" w:rsidRPr="00D26922" w:rsidRDefault="00131676" w:rsidP="003F4F75">
      <w:pPr>
        <w:numPr>
          <w:ilvl w:val="0"/>
          <w:numId w:val="1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Consistency across documentation</w:t>
      </w:r>
    </w:p>
    <w:p w14:paraId="321255F6" w14:textId="77777777" w:rsidR="00131676" w:rsidRPr="00D26922" w:rsidRDefault="00131676" w:rsidP="003F4F75">
      <w:pPr>
        <w:numPr>
          <w:ilvl w:val="0"/>
          <w:numId w:val="1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Clear competency hierarchies</w:t>
      </w:r>
    </w:p>
    <w:p w14:paraId="0478998F" w14:textId="77777777" w:rsidR="00131676" w:rsidRPr="00D26922" w:rsidRDefault="00131676" w:rsidP="003F4F75">
      <w:pPr>
        <w:numPr>
          <w:ilvl w:val="0"/>
          <w:numId w:val="18"/>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Standardized metadata</w:t>
      </w:r>
    </w:p>
    <w:p w14:paraId="21A7B89A"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When metadata conflicts—for example, when course descriptions do not match syllabus objectives—AI-driven systems produce inconsistency warnings.</w:t>
      </w:r>
    </w:p>
    <w:p w14:paraId="3A61A185"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In this way, AI becomes an accountability infrastructure rather than a threat to academic integrity.</w:t>
      </w:r>
    </w:p>
    <w:p w14:paraId="4E7E4049"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color w:val="000000" w:themeColor="text1"/>
        </w:rPr>
        <w:t>AI Strengthens Stewardship and Governance</w:t>
      </w:r>
    </w:p>
    <w:p w14:paraId="5C75099C"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From a governance perspective, AI enhances:</w:t>
      </w:r>
    </w:p>
    <w:p w14:paraId="10FE7E64" w14:textId="77777777" w:rsidR="00131676" w:rsidRPr="00D26922" w:rsidRDefault="00131676" w:rsidP="003F4F75">
      <w:pPr>
        <w:numPr>
          <w:ilvl w:val="0"/>
          <w:numId w:val="1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Transparency</w:t>
      </w:r>
    </w:p>
    <w:p w14:paraId="0E437834" w14:textId="77777777" w:rsidR="00131676" w:rsidRPr="00D26922" w:rsidRDefault="00131676" w:rsidP="003F4F75">
      <w:pPr>
        <w:numPr>
          <w:ilvl w:val="0"/>
          <w:numId w:val="1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Traceability</w:t>
      </w:r>
    </w:p>
    <w:p w14:paraId="4D672D5E" w14:textId="77777777" w:rsidR="00131676" w:rsidRPr="00D26922" w:rsidRDefault="00131676" w:rsidP="003F4F75">
      <w:pPr>
        <w:numPr>
          <w:ilvl w:val="0"/>
          <w:numId w:val="1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Evidence-based decision-making</w:t>
      </w:r>
    </w:p>
    <w:p w14:paraId="0A445E1F" w14:textId="77777777" w:rsidR="00131676" w:rsidRPr="00D26922" w:rsidRDefault="00131676" w:rsidP="003F4F75">
      <w:pPr>
        <w:numPr>
          <w:ilvl w:val="0"/>
          <w:numId w:val="19"/>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Equity auditing</w:t>
      </w:r>
    </w:p>
    <w:p w14:paraId="7BDB7F1C"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The World Economic Forum (2024) emphasizes that AI governance frameworks must prioritize transparency and auditability. When integrated into higher education systems, AI forces institutions to maintain:</w:t>
      </w:r>
    </w:p>
    <w:p w14:paraId="2EA849B0" w14:textId="77777777" w:rsidR="00131676" w:rsidRPr="00D26922" w:rsidRDefault="00131676" w:rsidP="003F4F75">
      <w:pPr>
        <w:numPr>
          <w:ilvl w:val="0"/>
          <w:numId w:val="20"/>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Updated documentation</w:t>
      </w:r>
    </w:p>
    <w:p w14:paraId="091FA9CD" w14:textId="77777777" w:rsidR="00131676" w:rsidRPr="00D26922" w:rsidRDefault="00131676" w:rsidP="003F4F75">
      <w:pPr>
        <w:numPr>
          <w:ilvl w:val="0"/>
          <w:numId w:val="20"/>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Standardized outcome language</w:t>
      </w:r>
    </w:p>
    <w:p w14:paraId="1EC1CE2E" w14:textId="77777777" w:rsidR="00131676" w:rsidRPr="00D26922" w:rsidRDefault="00131676" w:rsidP="003F4F75">
      <w:pPr>
        <w:numPr>
          <w:ilvl w:val="0"/>
          <w:numId w:val="20"/>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Clear assessment-to-outcome mapping</w:t>
      </w:r>
    </w:p>
    <w:p w14:paraId="0C0F70BD"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Credential conflation becomes increasingly unsustainable under AI-enhanced governance.</w:t>
      </w:r>
    </w:p>
    <w:p w14:paraId="4764B4B6"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AI Does Not Eliminate Human Responsibility—It Clarifies It</w:t>
      </w:r>
    </w:p>
    <w:p w14:paraId="7D7590D7"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It is essential to distinguish between misuse of AI and structural properties of AI systems. Misuse (e.g., academic dishonesty) reflects human decision-making, not system architecture.</w:t>
      </w:r>
    </w:p>
    <w:p w14:paraId="2242896F"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Properly deployed AI:</w:t>
      </w:r>
    </w:p>
    <w:p w14:paraId="6D9F2E94" w14:textId="77777777" w:rsidR="00131676" w:rsidRPr="00D26922" w:rsidRDefault="00131676" w:rsidP="003F4F75">
      <w:pPr>
        <w:numPr>
          <w:ilvl w:val="0"/>
          <w:numId w:val="2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Enhances plagiarism detection</w:t>
      </w:r>
    </w:p>
    <w:p w14:paraId="0ECADA01" w14:textId="77777777" w:rsidR="00131676" w:rsidRPr="00D26922" w:rsidRDefault="00131676" w:rsidP="003F4F75">
      <w:pPr>
        <w:numPr>
          <w:ilvl w:val="0"/>
          <w:numId w:val="2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Identifies citation errors</w:t>
      </w:r>
    </w:p>
    <w:p w14:paraId="171A241E" w14:textId="77777777" w:rsidR="00131676" w:rsidRPr="00D26922" w:rsidRDefault="00131676" w:rsidP="003F4F75">
      <w:pPr>
        <w:numPr>
          <w:ilvl w:val="0"/>
          <w:numId w:val="2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Maps outcome misalignment</w:t>
      </w:r>
    </w:p>
    <w:p w14:paraId="60E85EE0" w14:textId="77777777" w:rsidR="00131676" w:rsidRPr="00D26922" w:rsidRDefault="00131676" w:rsidP="003F4F75">
      <w:pPr>
        <w:numPr>
          <w:ilvl w:val="0"/>
          <w:numId w:val="21"/>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lastRenderedPageBreak/>
        <w:t>Flags structural inconsistency</w:t>
      </w:r>
    </w:p>
    <w:p w14:paraId="4D8C9842"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Thus, even AI—often criticized as destabilizing—operates on principles that reinforce credential clarity rather than undermine it.</w:t>
      </w:r>
    </w:p>
    <w:p w14:paraId="25B9F07F"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b/>
          <w:bCs/>
          <w:color w:val="000000" w:themeColor="text1"/>
        </w:rPr>
      </w:pPr>
      <w:r w:rsidRPr="00D26922">
        <w:rPr>
          <w:rFonts w:ascii="Times New Roman" w:hAnsi="Times New Roman" w:cs="Times New Roman"/>
          <w:b/>
          <w:bCs/>
          <w:color w:val="000000" w:themeColor="text1"/>
        </w:rPr>
        <w:t>Conclusion: AI as a Structural Integrity Mechanism</w:t>
      </w:r>
    </w:p>
    <w:p w14:paraId="694C0DC7"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Credential misalignment and conflation depend on opacity, inertia, and documentation gaps. Generative AI systems depend on alignment, metadata integrity, and structural coherence.</w:t>
      </w:r>
    </w:p>
    <w:p w14:paraId="25B97CBD"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Therefore:</w:t>
      </w:r>
    </w:p>
    <w:p w14:paraId="57F31249" w14:textId="77777777" w:rsidR="00131676" w:rsidRPr="00D26922" w:rsidRDefault="00131676" w:rsidP="003F4F75">
      <w:pPr>
        <w:numPr>
          <w:ilvl w:val="0"/>
          <w:numId w:val="2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does not support outdated syllabi.</w:t>
      </w:r>
    </w:p>
    <w:p w14:paraId="23115A21" w14:textId="77777777" w:rsidR="00131676" w:rsidRPr="00D26922" w:rsidRDefault="00131676" w:rsidP="003F4F75">
      <w:pPr>
        <w:numPr>
          <w:ilvl w:val="0"/>
          <w:numId w:val="2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does not tolerate vague learning outcomes.</w:t>
      </w:r>
    </w:p>
    <w:p w14:paraId="6BBB7522" w14:textId="77777777" w:rsidR="00131676" w:rsidRPr="00D26922" w:rsidRDefault="00131676" w:rsidP="003F4F75">
      <w:pPr>
        <w:numPr>
          <w:ilvl w:val="0"/>
          <w:numId w:val="2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does not reinforce misclassified rigor levels.</w:t>
      </w:r>
    </w:p>
    <w:p w14:paraId="11898EB1" w14:textId="77777777" w:rsidR="00131676" w:rsidRPr="00D26922" w:rsidRDefault="00131676" w:rsidP="003F4F75">
      <w:pPr>
        <w:numPr>
          <w:ilvl w:val="0"/>
          <w:numId w:val="22"/>
        </w:num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AI does not validate credential inflation.</w:t>
      </w:r>
    </w:p>
    <w:p w14:paraId="6533E128"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Instead, AI amplifies structural transparency and exposes inconsistencies embedded within ghost credential models.</w:t>
      </w:r>
    </w:p>
    <w:p w14:paraId="1251B8F7"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For CTC reviewers and accreditation bodies, this reality is critical: AI integration does not threaten credential legitimacy. When responsibly deployed, it strengthens it. Institutions that resist curricular alignment while integrating AI will face systemic contradiction. Institutions that embrace AI-supported auditing, version control, and outcome mapping will enhance credibility.</w:t>
      </w:r>
    </w:p>
    <w:p w14:paraId="643191C0" w14:textId="77777777" w:rsidR="00131676" w:rsidRPr="00D26922" w:rsidRDefault="00131676" w:rsidP="003F4F75">
      <w:pPr>
        <w:spacing w:before="100" w:beforeAutospacing="1" w:after="100" w:afterAutospacing="1" w:line="240" w:lineRule="auto"/>
        <w:outlineLvl w:val="1"/>
        <w:rPr>
          <w:rFonts w:ascii="Times New Roman" w:hAnsi="Times New Roman" w:cs="Times New Roman"/>
          <w:color w:val="000000" w:themeColor="text1"/>
        </w:rPr>
      </w:pPr>
      <w:r w:rsidRPr="00D26922">
        <w:rPr>
          <w:rFonts w:ascii="Times New Roman" w:hAnsi="Times New Roman" w:cs="Times New Roman"/>
          <w:color w:val="000000" w:themeColor="text1"/>
        </w:rPr>
        <w:t>In short, even artificial intelligence—built on predictive coherence and alignment modeling—is structurally incompatible with credential conflation. Where ghost models rely on concealment, AI demands clarity.</w:t>
      </w:r>
    </w:p>
    <w:p w14:paraId="5CB17187" w14:textId="77777777" w:rsidR="006961E5" w:rsidRPr="00D26922" w:rsidRDefault="006961E5" w:rsidP="003F4F75">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Recommendations</w:t>
      </w:r>
    </w:p>
    <w:p w14:paraId="1E5D2EC6" w14:textId="77777777" w:rsidR="006961E5" w:rsidRPr="00D26922" w:rsidRDefault="006961E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To eradicate academic ghost models and reinforce institutional integrity, higher education must embrace proactive, transparent frameworks. Four critical strategies—robust curriculum audits, transparent course review processes, firm whistleblower protections, and inclusive faculty-student governance—offer structured reform paths.</w:t>
      </w:r>
    </w:p>
    <w:p w14:paraId="77D81687" w14:textId="77777777" w:rsidR="006961E5" w:rsidRPr="00D26922" w:rsidRDefault="006961E5"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Robust Curriculum Audits</w:t>
      </w:r>
    </w:p>
    <w:p w14:paraId="37E52684" w14:textId="77777777" w:rsidR="006961E5" w:rsidRPr="00D26922" w:rsidRDefault="006961E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Curriculum audits are systematic evaluations that align course content with institutional mission, learning outcomes, and accreditation requirements. Effective audit protocols involve clear scopes, agreed-upon criteria, and scoring frameworks to assess relevance, rigor, and stakeholder input (ERB, 2024; Alison Yang, 2024). Institutions conducting such audits ensure academic programs remain responsive, current, and impactful—using data to guide revision rather than tradition.</w:t>
      </w:r>
    </w:p>
    <w:p w14:paraId="6D0357F6" w14:textId="77777777" w:rsidR="000A63F7" w:rsidRPr="00D26922" w:rsidRDefault="00A31830"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hAnsi="Times New Roman" w:cs="Times New Roman"/>
          <w:color w:val="000000" w:themeColor="text1"/>
        </w:rPr>
        <w:lastRenderedPageBreak/>
        <w:t>Data provides irrefutable evidence of the issue, but other factors are also necessary to enable change. As acknowledged by Yang (2024), curriculum reform requires a strategic reflective approach, involvement of stakeholders, crisis management, and leadership buy-in.</w:t>
      </w:r>
    </w:p>
    <w:p w14:paraId="3452798B" w14:textId="77777777" w:rsidR="006961E5" w:rsidRPr="00D26922" w:rsidRDefault="006961E5" w:rsidP="003F4F75">
      <w:pPr>
        <w:spacing w:before="100" w:beforeAutospacing="1" w:after="100" w:afterAutospacing="1" w:line="240" w:lineRule="auto"/>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Transparent Course Review Processes</w:t>
      </w:r>
    </w:p>
    <w:p w14:paraId="5B0DA907" w14:textId="77777777" w:rsidR="006961E5" w:rsidRPr="00D26922" w:rsidRDefault="006961E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Curricular transparency ensures shared governance and </w:t>
      </w:r>
      <w:proofErr w:type="gramStart"/>
      <w:r w:rsidRPr="00D26922">
        <w:rPr>
          <w:rFonts w:ascii="Times New Roman" w:eastAsia="Times New Roman" w:hAnsi="Times New Roman" w:cs="Times New Roman"/>
          <w:color w:val="000000" w:themeColor="text1"/>
          <w:kern w:val="0"/>
          <w14:ligatures w14:val="none"/>
        </w:rPr>
        <w:t>accountability</w:t>
      </w:r>
      <w:r w:rsidR="00C120FE" w:rsidRPr="00D26922">
        <w:rPr>
          <w:rFonts w:ascii="Times New Roman" w:eastAsia="Times New Roman" w:hAnsi="Times New Roman" w:cs="Times New Roman"/>
          <w:color w:val="000000" w:themeColor="text1"/>
          <w:kern w:val="0"/>
          <w14:ligatures w14:val="none"/>
        </w:rPr>
        <w:t>, and</w:t>
      </w:r>
      <w:proofErr w:type="gramEnd"/>
      <w:r w:rsidR="00C120FE" w:rsidRPr="00D26922">
        <w:rPr>
          <w:rFonts w:ascii="Times New Roman" w:eastAsia="Times New Roman" w:hAnsi="Times New Roman" w:cs="Times New Roman"/>
          <w:color w:val="000000" w:themeColor="text1"/>
          <w:kern w:val="0"/>
          <w14:ligatures w14:val="none"/>
        </w:rPr>
        <w:t xml:space="preserve"> espouses trust</w:t>
      </w:r>
      <w:r w:rsidRPr="00D26922">
        <w:rPr>
          <w:rFonts w:ascii="Times New Roman" w:eastAsia="Times New Roman" w:hAnsi="Times New Roman" w:cs="Times New Roman"/>
          <w:color w:val="000000" w:themeColor="text1"/>
          <w:kern w:val="0"/>
          <w14:ligatures w14:val="none"/>
        </w:rPr>
        <w:t>. Best practices for quality assurance emphasize open governance structures, strategic planning, and data-driven curriculum development (QAHE, 2023). Transparent course review—leveraging published rubrics, external reviewers, and open faculty discussions—fosters trust and allows the academic community and students to shape course evolution responsibly.</w:t>
      </w:r>
    </w:p>
    <w:p w14:paraId="361A6216" w14:textId="77777777" w:rsidR="006961E5" w:rsidRPr="00D26922" w:rsidRDefault="006961E5"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Protection for Whistleblowers (With State-Level Support)</w:t>
      </w:r>
    </w:p>
    <w:p w14:paraId="2D31B917" w14:textId="77777777" w:rsidR="000A63F7" w:rsidRPr="00D26922" w:rsidRDefault="007D6822" w:rsidP="003F4F75">
      <w:pPr>
        <w:spacing w:before="100" w:beforeAutospacing="1" w:after="100" w:afterAutospacing="1" w:line="240" w:lineRule="auto"/>
        <w:outlineLvl w:val="2"/>
        <w:rPr>
          <w:rFonts w:ascii="Times New Roman" w:hAnsi="Times New Roman" w:cs="Times New Roman"/>
          <w:color w:val="000000" w:themeColor="text1"/>
        </w:rPr>
      </w:pPr>
      <w:r w:rsidRPr="00D26922">
        <w:rPr>
          <w:rFonts w:ascii="Times New Roman" w:hAnsi="Times New Roman" w:cs="Times New Roman"/>
          <w:color w:val="000000" w:themeColor="text1"/>
        </w:rPr>
        <w:t xml:space="preserve">Faculty and students who expose misconduct or challenge outdated curricular models require safeguards. Without legal and institutional protections, reformers risk retaliation, ensuring outdated programs persist unchecked. While federal rulings like </w:t>
      </w:r>
      <w:r w:rsidRPr="00D26922">
        <w:rPr>
          <w:rStyle w:val="Emphasis"/>
          <w:rFonts w:ascii="Times New Roman" w:hAnsi="Times New Roman" w:cs="Times New Roman"/>
          <w:color w:val="000000" w:themeColor="text1"/>
        </w:rPr>
        <w:t>Demers v. Austin</w:t>
      </w:r>
      <w:r w:rsidRPr="00D26922">
        <w:rPr>
          <w:rFonts w:ascii="Times New Roman" w:hAnsi="Times New Roman" w:cs="Times New Roman"/>
          <w:color w:val="000000" w:themeColor="text1"/>
        </w:rPr>
        <w:t xml:space="preserve"> (2014) affirm protections for faculty speech on governance, stronger state-level laws are needed to ensure that advocacy for curricular innovation does not result in silencing or dismissal.</w:t>
      </w:r>
    </w:p>
    <w:p w14:paraId="67966BB0" w14:textId="77777777" w:rsidR="006961E5" w:rsidRPr="00D26922" w:rsidRDefault="006961E5"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Faculty Senate Oversight and Student Representation</w:t>
      </w:r>
    </w:p>
    <w:p w14:paraId="10AE31F5" w14:textId="77777777" w:rsidR="006961E5" w:rsidRPr="00D26922" w:rsidRDefault="006961E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Empowered faculty governance coupled with student involvement enhances curriculum legitimacy. Faculty senates—when transparent, publicly accountable, and engaged in curricular decisions—help align course delivery with evolving pedagogical standards (TX SB 37 proposal, 2025). Inclusion of student voices, akin to Darden’s diversity audit, enriches review processes and aligns learning materials with student identity and experience (Harvard Business Publishing, 2022). Institutional policies should mandate shared decision-making to ensure reforms are broadly grounded and resilient.</w:t>
      </w:r>
    </w:p>
    <w:p w14:paraId="05BF3084" w14:textId="77777777" w:rsidR="006961E5" w:rsidRPr="00D26922" w:rsidRDefault="006961E5"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Academic institutions risk long-term damage when outdated course models persist unchecked. By embedding auditing, transparency, legal safeguards, and inclusive governance systems, universities can dismantle academic ghost models and reaffirm their mission to serve students and scholarship on principles of integrity and accountability.</w:t>
      </w:r>
    </w:p>
    <w:p w14:paraId="12B4E763" w14:textId="77777777" w:rsidR="00BD6973" w:rsidRPr="00D26922" w:rsidRDefault="00BD6973" w:rsidP="003F4F75">
      <w:pPr>
        <w:spacing w:before="100" w:beforeAutospacing="1" w:after="100" w:afterAutospacing="1" w:line="240" w:lineRule="auto"/>
        <w:jc w:val="center"/>
        <w:outlineLvl w:val="1"/>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Conclusion</w:t>
      </w:r>
    </w:p>
    <w:p w14:paraId="411D739E" w14:textId="77777777" w:rsidR="00BD6973" w:rsidRPr="00D26922" w:rsidRDefault="00BD6973"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The persistence of academic ghost models demonstrates that modern higher education cannot afford complacency. Courses that rely on obsolete textbooks, outdated citation formats, and misaligned credential frameworks represent more than pedagogical inconvenience; they constitute forms of credential fraud that erode trust, compromise student learning, and jeopardize accreditation. Students today face rising costs, heightened stress, and an urgent need for relevant, high-quality education (Ellucian, 2024). Delivering outdated or fraudulent credential models not only betrays their investment but also undermines the legitimacy of the institutions that sanction them.</w:t>
      </w:r>
    </w:p>
    <w:p w14:paraId="21E94626" w14:textId="77777777" w:rsidR="00BD6973" w:rsidRPr="00D26922" w:rsidRDefault="00BD6973"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lastRenderedPageBreak/>
        <w:t>For institutions, the stakes are equally severe. Accreditation agencies and external regulators now demand transparent, rigorous, and continuously updated curricula (AACSB, 2023; U.S. Department of Education, 2025). Failure to act risks reputational collapse, legal exposure, and diminished public confidence. Leadership transitions, state audits, and student grievances across institutions have already shown how fragile higher education’s credibility can be when misconduct festers unchecked.</w:t>
      </w:r>
    </w:p>
    <w:p w14:paraId="0D34D9CD" w14:textId="77777777" w:rsidR="00BD6973" w:rsidRPr="00D26922" w:rsidRDefault="00BD6973"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The call to action is urgent: educational leaders must embed robust curriculum audits, transparent review processes, whistleblower protections, and inclusive faculty-student governance. Integrity cannot be deferred to policy statements—it must be enacted in everyday practice. The future of higher education depends on institutions willing to prioritize academic rigor and student welfare over bureaucratic inertia and personal power. Only then can higher education uphold its mission to prepare learners for the demands of a rapidly transforming world.</w:t>
      </w:r>
    </w:p>
    <w:p w14:paraId="3F945794" w14:textId="77777777" w:rsidR="00EA214E" w:rsidRPr="00D26922" w:rsidRDefault="00EA214E"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
    <w:p w14:paraId="38F094E5" w14:textId="77777777" w:rsidR="00EA214E" w:rsidRPr="00D26922" w:rsidRDefault="00EA214E" w:rsidP="003F4F75">
      <w:pPr>
        <w:rPr>
          <w:rFonts w:ascii="Times New Roman" w:hAnsi="Times New Roman" w:cs="Times New Roman"/>
          <w:color w:val="000000" w:themeColor="text1"/>
        </w:rPr>
      </w:pPr>
    </w:p>
    <w:p w14:paraId="008CDDA7" w14:textId="77777777" w:rsidR="00676813" w:rsidRPr="00D26922" w:rsidRDefault="00676813" w:rsidP="003F4F75">
      <w:pPr>
        <w:rPr>
          <w:rFonts w:ascii="Times New Roman" w:hAnsi="Times New Roman" w:cs="Times New Roman"/>
          <w:color w:val="000000" w:themeColor="text1"/>
        </w:rPr>
      </w:pPr>
    </w:p>
    <w:p w14:paraId="371FF595" w14:textId="77777777" w:rsidR="00676813" w:rsidRPr="00D26922" w:rsidRDefault="00676813" w:rsidP="003F4F75">
      <w:pPr>
        <w:rPr>
          <w:rFonts w:ascii="Times New Roman" w:hAnsi="Times New Roman" w:cs="Times New Roman"/>
          <w:color w:val="000000" w:themeColor="text1"/>
        </w:rPr>
      </w:pPr>
    </w:p>
    <w:p w14:paraId="601D2B85" w14:textId="77777777" w:rsidR="00676813" w:rsidRPr="00D26922" w:rsidRDefault="00676813" w:rsidP="003F4F75">
      <w:pPr>
        <w:rPr>
          <w:rFonts w:ascii="Times New Roman" w:hAnsi="Times New Roman" w:cs="Times New Roman"/>
          <w:color w:val="000000" w:themeColor="text1"/>
        </w:rPr>
      </w:pPr>
    </w:p>
    <w:p w14:paraId="5A1B832D" w14:textId="77777777" w:rsidR="00676813" w:rsidRPr="00D26922" w:rsidRDefault="00676813" w:rsidP="003F4F75">
      <w:pPr>
        <w:rPr>
          <w:rFonts w:ascii="Times New Roman" w:hAnsi="Times New Roman" w:cs="Times New Roman"/>
          <w:color w:val="000000" w:themeColor="text1"/>
        </w:rPr>
      </w:pPr>
    </w:p>
    <w:p w14:paraId="6C844AD5" w14:textId="77777777" w:rsidR="00342F58" w:rsidRPr="00D26922" w:rsidRDefault="00342F58" w:rsidP="003F4F75">
      <w:pPr>
        <w:rPr>
          <w:rFonts w:ascii="Times New Roman" w:hAnsi="Times New Roman" w:cs="Times New Roman"/>
          <w:color w:val="000000" w:themeColor="text1"/>
        </w:rPr>
      </w:pPr>
    </w:p>
    <w:p w14:paraId="2A37C664" w14:textId="77777777" w:rsidR="00342F58" w:rsidRPr="00D26922" w:rsidRDefault="00342F58" w:rsidP="003F4F75">
      <w:pPr>
        <w:rPr>
          <w:rFonts w:ascii="Times New Roman" w:hAnsi="Times New Roman" w:cs="Times New Roman"/>
          <w:color w:val="000000" w:themeColor="text1"/>
        </w:rPr>
      </w:pPr>
    </w:p>
    <w:p w14:paraId="38C2AB4B" w14:textId="77777777" w:rsidR="00342F58" w:rsidRPr="00D26922" w:rsidRDefault="00342F58" w:rsidP="003F4F75">
      <w:pPr>
        <w:rPr>
          <w:rFonts w:ascii="Times New Roman" w:hAnsi="Times New Roman" w:cs="Times New Roman"/>
          <w:color w:val="000000" w:themeColor="text1"/>
        </w:rPr>
      </w:pPr>
    </w:p>
    <w:p w14:paraId="1F32223B" w14:textId="77777777" w:rsidR="00342F58" w:rsidRPr="00D26922" w:rsidRDefault="00342F58" w:rsidP="003F4F75">
      <w:pPr>
        <w:rPr>
          <w:rFonts w:ascii="Times New Roman" w:hAnsi="Times New Roman" w:cs="Times New Roman"/>
          <w:color w:val="000000" w:themeColor="text1"/>
        </w:rPr>
      </w:pPr>
    </w:p>
    <w:p w14:paraId="6157FDEF" w14:textId="77777777" w:rsidR="00342F58" w:rsidRPr="00D26922" w:rsidRDefault="00342F58" w:rsidP="003F4F75">
      <w:pPr>
        <w:rPr>
          <w:rFonts w:ascii="Times New Roman" w:hAnsi="Times New Roman" w:cs="Times New Roman"/>
          <w:color w:val="000000" w:themeColor="text1"/>
        </w:rPr>
      </w:pPr>
    </w:p>
    <w:p w14:paraId="07B5A520" w14:textId="77777777" w:rsidR="00342F58" w:rsidRPr="00D26922" w:rsidRDefault="00342F58" w:rsidP="003F4F75">
      <w:pPr>
        <w:rPr>
          <w:rFonts w:ascii="Times New Roman" w:hAnsi="Times New Roman" w:cs="Times New Roman"/>
          <w:color w:val="000000" w:themeColor="text1"/>
        </w:rPr>
      </w:pPr>
    </w:p>
    <w:p w14:paraId="5E8C744C" w14:textId="77777777" w:rsidR="00EA214E" w:rsidRPr="00D26922" w:rsidRDefault="00EA214E"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
    <w:p w14:paraId="4350F912" w14:textId="77777777" w:rsidR="006F0354" w:rsidRPr="00D26922" w:rsidRDefault="006F0354"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
    <w:p w14:paraId="708789E3" w14:textId="77777777" w:rsidR="006F0354" w:rsidRPr="00D26922" w:rsidRDefault="006F0354"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
    <w:p w14:paraId="49D9E2F6" w14:textId="77777777" w:rsidR="006F0354" w:rsidRPr="00D26922" w:rsidRDefault="006F0354"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
    <w:p w14:paraId="4D565FE0" w14:textId="77777777" w:rsidR="008A0DC5" w:rsidRPr="00D26922" w:rsidRDefault="008A0DC5" w:rsidP="003F4F75">
      <w:pPr>
        <w:spacing w:before="100" w:beforeAutospacing="1" w:after="100" w:afterAutospacing="1" w:line="240" w:lineRule="auto"/>
        <w:jc w:val="center"/>
        <w:outlineLvl w:val="2"/>
        <w:rPr>
          <w:rFonts w:ascii="Times New Roman" w:eastAsia="Times New Roman" w:hAnsi="Times New Roman" w:cs="Times New Roman"/>
          <w:b/>
          <w:bCs/>
          <w:color w:val="000000" w:themeColor="text1"/>
          <w:kern w:val="0"/>
          <w14:ligatures w14:val="none"/>
        </w:rPr>
      </w:pPr>
      <w:r w:rsidRPr="00D26922">
        <w:rPr>
          <w:rFonts w:ascii="Times New Roman" w:eastAsia="Times New Roman" w:hAnsi="Times New Roman" w:cs="Times New Roman"/>
          <w:b/>
          <w:bCs/>
          <w:color w:val="000000" w:themeColor="text1"/>
          <w:kern w:val="0"/>
          <w14:ligatures w14:val="none"/>
        </w:rPr>
        <w:t>References</w:t>
      </w:r>
    </w:p>
    <w:p w14:paraId="05A8ED2B"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lastRenderedPageBreak/>
        <w:t xml:space="preserve">AACSB. (2023). 2023 State of Accreditation Report: Continuous improvement should apply to everyone. AACSB International. </w:t>
      </w:r>
      <w:hyperlink r:id="rId9" w:history="1">
        <w:r w:rsidRPr="00D26922">
          <w:rPr>
            <w:rFonts w:ascii="Times New Roman" w:hAnsi="Times New Roman" w:cs="Times New Roman"/>
            <w:noProof/>
            <w:color w:val="000000" w:themeColor="text1"/>
          </w:rPr>
          <w:t>https://www.aacsb.edu/insights/reports/2023-state-of-accreditation-report</w:t>
        </w:r>
      </w:hyperlink>
    </w:p>
    <w:p w14:paraId="3C9F4777"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Alison Yang. (2024). 2024 Guide to Effective Curriculum Audits: Step-by-Step for Educators. https://alisonyang.com/master-curriculum-audits-guide/</w:t>
      </w:r>
    </w:p>
    <w:p w14:paraId="45856697" w14:textId="77777777" w:rsidR="00CE489B" w:rsidRPr="00D26922" w:rsidRDefault="00CE489B" w:rsidP="003F4F75">
      <w:pPr>
        <w:pStyle w:val="Bibliography"/>
        <w:ind w:left="720" w:hanging="720"/>
        <w:rPr>
          <w:rFonts w:ascii="Times New Roman" w:hAnsi="Times New Roman" w:cs="Times New Roman"/>
          <w:color w:val="000000" w:themeColor="text1"/>
        </w:rPr>
      </w:pPr>
      <w:r w:rsidRPr="00D26922">
        <w:rPr>
          <w:rFonts w:ascii="Times New Roman" w:hAnsi="Times New Roman" w:cs="Times New Roman"/>
          <w:noProof/>
          <w:color w:val="000000" w:themeColor="text1"/>
        </w:rPr>
        <w:t xml:space="preserve">American Psychological Association. (2023). APA Style Blog: The “outdated sources” myth. </w:t>
      </w:r>
      <w:hyperlink r:id="rId10" w:history="1">
        <w:r w:rsidRPr="00D26922">
          <w:rPr>
            <w:rFonts w:ascii="Times New Roman" w:hAnsi="Times New Roman" w:cs="Times New Roman"/>
            <w:noProof/>
            <w:color w:val="000000" w:themeColor="text1"/>
          </w:rPr>
          <w:t>https://apastyle.apa.org/blog/outdated-sources-myth</w:t>
        </w:r>
      </w:hyperlink>
    </w:p>
    <w:p w14:paraId="29BD77D6"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Babb Education. (2025, June). Ghost faculty, hollow content: The hidden risk of scaling online without quality.</w:t>
      </w:r>
      <w:r w:rsidR="009B3ED9" w:rsidRPr="00D26922">
        <w:rPr>
          <w:rFonts w:ascii="Times New Roman" w:hAnsi="Times New Roman" w:cs="Times New Roman"/>
          <w:noProof/>
          <w:color w:val="000000" w:themeColor="text1"/>
        </w:rPr>
        <w:t xml:space="preserve"> </w:t>
      </w:r>
      <w:hyperlink r:id="rId11" w:history="1">
        <w:r w:rsidR="009B3ED9" w:rsidRPr="00D26922">
          <w:rPr>
            <w:rFonts w:ascii="Times New Roman" w:hAnsi="Times New Roman" w:cs="Times New Roman"/>
            <w:noProof/>
            <w:color w:val="000000" w:themeColor="text1"/>
          </w:rPr>
          <w:t>https://babbeducation.com/blog/ghost-faculty-hollow-content-the-hidden-risk-of-scaling-online-without-quality</w:t>
        </w:r>
      </w:hyperlink>
    </w:p>
    <w:p w14:paraId="64AB236F"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lang w:val="de-DE"/>
        </w:rPr>
        <w:t xml:space="preserve">Bai, Y., Chen, Y., Gonzalez, J., &amp; Kim, H. (2025, April). </w:t>
      </w:r>
      <w:r w:rsidRPr="00D26922">
        <w:rPr>
          <w:rFonts w:ascii="Times New Roman" w:hAnsi="Times New Roman" w:cs="Times New Roman"/>
          <w:noProof/>
          <w:color w:val="000000" w:themeColor="text1"/>
        </w:rPr>
        <w:t>The hidden cost: Emotional labor, mentoring, and graduate students’ wellbeing. Michigan Doctoral Experience Study (MDES), University of Michigan.</w:t>
      </w:r>
    </w:p>
    <w:p w14:paraId="147B393C"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Bettinger, E., &amp; Long, B. (2009). Addressing the needs of underprepared students in higher education: Does college remediation work? Journal of Human Resources, 44(3), 736–771.</w:t>
      </w:r>
    </w:p>
    <w:p w14:paraId="564F7974" w14:textId="77777777" w:rsidR="00D176CD" w:rsidRPr="00D26922" w:rsidRDefault="00D176CD"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Bucklye, S. (2024, August 27). </w:t>
      </w:r>
      <w:r w:rsidRPr="00D26922">
        <w:rPr>
          <w:rFonts w:ascii="Times New Roman" w:hAnsi="Times New Roman" w:cs="Times New Roman"/>
          <w:i/>
          <w:iCs/>
          <w:noProof/>
          <w:color w:val="000000" w:themeColor="text1"/>
        </w:rPr>
        <w:t>A global imperative to tackle tertiary system reform</w:t>
      </w:r>
      <w:r w:rsidRPr="00D26922">
        <w:rPr>
          <w:rFonts w:ascii="Times New Roman" w:hAnsi="Times New Roman" w:cs="Times New Roman"/>
          <w:noProof/>
          <w:color w:val="000000" w:themeColor="text1"/>
        </w:rPr>
        <w:t>.  ACER: https://www.acer.org/my/news/article/a-global-imperative-to-tackle-tertiary-system-reform</w:t>
      </w:r>
    </w:p>
    <w:p w14:paraId="41F33BFF"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Changing Higher Ed®. (2025, February 18). Top risks in higher education and why leaders must have ERM programs.</w:t>
      </w:r>
      <w:r w:rsidR="003C0D0E" w:rsidRPr="00D26922">
        <w:rPr>
          <w:rFonts w:ascii="Times New Roman" w:hAnsi="Times New Roman" w:cs="Times New Roman"/>
          <w:noProof/>
          <w:color w:val="000000" w:themeColor="text1"/>
        </w:rPr>
        <w:t xml:space="preserve"> </w:t>
      </w:r>
      <w:hyperlink r:id="rId12" w:history="1">
        <w:r w:rsidR="003C0D0E" w:rsidRPr="00D26922">
          <w:rPr>
            <w:rFonts w:ascii="Times New Roman" w:hAnsi="Times New Roman" w:cs="Times New Roman"/>
            <w:noProof/>
            <w:color w:val="000000" w:themeColor="text1"/>
          </w:rPr>
          <w:t>https://changinghighered.com/top-risks-in-higher-education-erm-programs/</w:t>
        </w:r>
      </w:hyperlink>
    </w:p>
    <w:p w14:paraId="2B516BD9"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Dhami, H. (2019, July 10). The average print textbook goes out of date every 3 years. Top Hat. </w:t>
      </w:r>
      <w:hyperlink r:id="rId13" w:history="1">
        <w:r w:rsidRPr="00D26922">
          <w:rPr>
            <w:rFonts w:ascii="Times New Roman" w:hAnsi="Times New Roman" w:cs="Times New Roman"/>
            <w:noProof/>
            <w:color w:val="000000" w:themeColor="text1"/>
          </w:rPr>
          <w:t>https://tophat.com/blog/print-textbook-editions/</w:t>
        </w:r>
      </w:hyperlink>
    </w:p>
    <w:p w14:paraId="6DA31EE0"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Demers v. Austin, 746 F.3d 402 (9th Cir., 2014).</w:t>
      </w:r>
      <w:r w:rsidR="0075598C" w:rsidRPr="00D26922">
        <w:rPr>
          <w:rFonts w:ascii="Times New Roman" w:hAnsi="Times New Roman" w:cs="Times New Roman"/>
          <w:noProof/>
          <w:color w:val="000000" w:themeColor="text1"/>
        </w:rPr>
        <w:t xml:space="preserve"> </w:t>
      </w:r>
      <w:hyperlink r:id="rId14" w:history="1">
        <w:r w:rsidR="0075598C" w:rsidRPr="00D26922">
          <w:rPr>
            <w:rFonts w:ascii="Times New Roman" w:hAnsi="Times New Roman" w:cs="Times New Roman"/>
            <w:noProof/>
            <w:color w:val="000000" w:themeColor="text1"/>
          </w:rPr>
          <w:t>https://casetext.com/case/demers-v-austin-4</w:t>
        </w:r>
      </w:hyperlink>
    </w:p>
    <w:p w14:paraId="25E45650"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Elliott, M. (2024, February 13). Understanding academic inertia in higher education. Insights Blog.</w:t>
      </w:r>
    </w:p>
    <w:p w14:paraId="43CFF3EF"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Ellucian. (2024, June 26). 59% of college students considered dropping out due to financial stress; nearly 80% report negative impact on mental health. </w:t>
      </w:r>
      <w:hyperlink r:id="rId15" w:history="1">
        <w:r w:rsidR="0075598C" w:rsidRPr="00D26922">
          <w:rPr>
            <w:rFonts w:ascii="Times New Roman" w:hAnsi="Times New Roman" w:cs="Times New Roman"/>
            <w:noProof/>
            <w:color w:val="000000" w:themeColor="text1"/>
          </w:rPr>
          <w:t>https://www.ellucian.com/news/national-survey-reveals-59-college-students-considered-dropping-out-due-financial-stress</w:t>
        </w:r>
      </w:hyperlink>
    </w:p>
    <w:p w14:paraId="1BCDEC7F"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ERB. (2024). Conducting a Curriculum Audit: Tips &amp; Getting Started. </w:t>
      </w:r>
      <w:hyperlink r:id="rId16" w:history="1">
        <w:r w:rsidRPr="00D26922">
          <w:rPr>
            <w:rFonts w:ascii="Times New Roman" w:hAnsi="Times New Roman" w:cs="Times New Roman"/>
            <w:noProof/>
            <w:color w:val="000000" w:themeColor="text1"/>
          </w:rPr>
          <w:t>https://www.erblearn.org/blog/conduct-a-curriculum-audit/</w:t>
        </w:r>
      </w:hyperlink>
    </w:p>
    <w:p w14:paraId="45F6815A"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lastRenderedPageBreak/>
        <w:t>Garrett, L. (2018). Administrative intensity and institutional performance in higher education. Education Sciences, 8(4), 159.</w:t>
      </w:r>
    </w:p>
    <w:p w14:paraId="1CCD42E6"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Harvard Business Publishing. (2022). If You’re Not Auditing Your Curriculum for Diversity… </w:t>
      </w:r>
      <w:hyperlink r:id="rId17" w:history="1">
        <w:r w:rsidR="0075598C" w:rsidRPr="00D26922">
          <w:rPr>
            <w:rFonts w:ascii="Times New Roman" w:hAnsi="Times New Roman" w:cs="Times New Roman"/>
            <w:noProof/>
            <w:color w:val="000000" w:themeColor="text1"/>
          </w:rPr>
          <w:t>https://hbsp.harvard.edu</w:t>
        </w:r>
      </w:hyperlink>
    </w:p>
    <w:p w14:paraId="098C25EF"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Julius, D. (2022). Faculty vs. administration: power dynamics in academic governance. NCSCBHE, CUNY.</w:t>
      </w:r>
    </w:p>
    <w:p w14:paraId="6097F406" w14:textId="77777777" w:rsidR="00D176CD" w:rsidRPr="00D26922" w:rsidRDefault="00D176CD"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21K school team. (2025, August 11). 21K School. Retrieved from How Higher Education Is Becoming Increasingly Irrelevant?: https://www.21kschool.com/in/blog/how-higher-education-is-becoming-increasingly-irrelevant/</w:t>
      </w:r>
    </w:p>
    <w:p w14:paraId="40797ED8" w14:textId="77777777" w:rsidR="005A019D" w:rsidRPr="00D26922" w:rsidRDefault="005A019D"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Karakhanyan, S. (2022). </w:t>
      </w:r>
      <w:r w:rsidRPr="00D26922">
        <w:rPr>
          <w:rFonts w:ascii="Times New Roman" w:hAnsi="Times New Roman" w:cs="Times New Roman"/>
          <w:i/>
          <w:iCs/>
          <w:noProof/>
          <w:color w:val="000000" w:themeColor="text1"/>
        </w:rPr>
        <w:t>Quality and relevance of programmes in higher education. Paper commissioned by UNESCO for the World Higher Education Conference 18-22 May 2022.</w:t>
      </w:r>
      <w:r w:rsidRPr="00D26922">
        <w:rPr>
          <w:rFonts w:ascii="Times New Roman" w:hAnsi="Times New Roman" w:cs="Times New Roman"/>
          <w:noProof/>
          <w:color w:val="000000" w:themeColor="text1"/>
        </w:rPr>
        <w:t xml:space="preserve"> UNESCO 2022.</w:t>
      </w:r>
    </w:p>
    <w:p w14:paraId="1003F731"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Moyo, S. (2024, January 12). Outdated educational materials: How to fix &amp; avoid (Expert Guide). Siphiwe Education. </w:t>
      </w:r>
      <w:hyperlink r:id="rId18" w:history="1">
        <w:r w:rsidRPr="00D26922">
          <w:rPr>
            <w:rFonts w:ascii="Times New Roman" w:hAnsi="Times New Roman" w:cs="Times New Roman"/>
            <w:noProof/>
            <w:color w:val="000000" w:themeColor="text1"/>
          </w:rPr>
          <w:t>https://mssiphiwemoyo.com/blog/fix-avoid-outdated-educational-materials/</w:t>
        </w:r>
      </w:hyperlink>
    </w:p>
    <w:p w14:paraId="032EDAA9"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National Law Review. (2025, June 5). Higher education accreditation under scrutiny.</w:t>
      </w:r>
      <w:r w:rsidR="001303DB" w:rsidRPr="00D26922">
        <w:rPr>
          <w:rFonts w:ascii="Times New Roman" w:hAnsi="Times New Roman" w:cs="Times New Roman"/>
          <w:noProof/>
          <w:color w:val="000000" w:themeColor="text1"/>
        </w:rPr>
        <w:t xml:space="preserve"> The National Law Review. </w:t>
      </w:r>
      <w:hyperlink r:id="rId19" w:tgtFrame="_new" w:history="1">
        <w:r w:rsidR="001303DB" w:rsidRPr="00D26922">
          <w:rPr>
            <w:rFonts w:ascii="Times New Roman" w:hAnsi="Times New Roman" w:cs="Times New Roman"/>
            <w:noProof/>
            <w:color w:val="000000" w:themeColor="text1"/>
          </w:rPr>
          <w:t>https://natlawreview.com/article/higher-education-accreditation-under-scrutiny</w:t>
        </w:r>
      </w:hyperlink>
    </w:p>
    <w:p w14:paraId="3787404A" w14:textId="77777777" w:rsidR="003926C5" w:rsidRPr="00D26922" w:rsidRDefault="003926C5"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Nelson, J. J., Alleman, N. F., &amp; Cliburn Allen, C. E. (2024). Faculty denied tenure: Internalization, resistance, and the organizational protection of legitimacy. Higher Education, 89(2), 807–823. </w:t>
      </w:r>
      <w:hyperlink r:id="rId20" w:history="1">
        <w:r w:rsidRPr="00D26922">
          <w:rPr>
            <w:rFonts w:ascii="Times New Roman" w:hAnsi="Times New Roman" w:cs="Times New Roman"/>
            <w:noProof/>
            <w:color w:val="000000" w:themeColor="text1"/>
          </w:rPr>
          <w:t>https://doi.org/10.1007/s10734-024-01248-4</w:t>
        </w:r>
      </w:hyperlink>
    </w:p>
    <w:p w14:paraId="5ABA27E2"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Noodle. (2025). From risk to reputation: The hidden cost of outdated curriculum. About Noodle. </w:t>
      </w:r>
      <w:hyperlink r:id="rId21" w:history="1">
        <w:r w:rsidR="00176A88" w:rsidRPr="00D26922">
          <w:rPr>
            <w:rStyle w:val="Hyperlink"/>
            <w:rFonts w:ascii="Times New Roman" w:hAnsi="Times New Roman" w:cs="Times New Roman"/>
            <w:noProof/>
            <w:color w:val="000000" w:themeColor="text1"/>
          </w:rPr>
          <w:t>https://about.noodle.com/insight/from-risk-to-reputation-the-hidden-cost-of-outdated-curriculum/</w:t>
        </w:r>
      </w:hyperlink>
    </w:p>
    <w:p w14:paraId="3298E125" w14:textId="77777777" w:rsidR="00176A88" w:rsidRPr="00D26922" w:rsidRDefault="00176A88"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OECD. (2023). Digital education outlook 2023: Towards an effective digital education ecosystem. OECD Publishing.</w:t>
      </w:r>
    </w:p>
    <w:p w14:paraId="2E020C54"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QAHE. (2023). Best Practices for Quality Assurance in Education and Training Institutions. International Association for Quality Assurance in Pre-Tertiary &amp; Higher Education. </w:t>
      </w:r>
      <w:hyperlink r:id="rId22" w:history="1">
        <w:r w:rsidR="00E803C3" w:rsidRPr="00D26922">
          <w:rPr>
            <w:rStyle w:val="Hyperlink"/>
            <w:rFonts w:ascii="Times New Roman" w:hAnsi="Times New Roman" w:cs="Times New Roman"/>
            <w:noProof/>
            <w:color w:val="000000" w:themeColor="text1"/>
          </w:rPr>
          <w:t>https://www.qahe.org.uk</w:t>
        </w:r>
      </w:hyperlink>
    </w:p>
    <w:p w14:paraId="1F9FBBB9" w14:textId="77777777" w:rsidR="00E803C3" w:rsidRPr="00D26922" w:rsidRDefault="00E803C3"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UNESCO. (2023). </w:t>
      </w:r>
      <w:r w:rsidRPr="00D26922">
        <w:rPr>
          <w:rFonts w:ascii="Times New Roman" w:eastAsia="Times New Roman" w:hAnsi="Times New Roman" w:cs="Times New Roman"/>
          <w:i/>
          <w:iCs/>
          <w:color w:val="000000" w:themeColor="text1"/>
          <w:kern w:val="0"/>
          <w14:ligatures w14:val="none"/>
        </w:rPr>
        <w:t>Guidance for generative AI in education and research</w:t>
      </w:r>
      <w:r w:rsidRPr="00D26922">
        <w:rPr>
          <w:rFonts w:ascii="Times New Roman" w:eastAsia="Times New Roman" w:hAnsi="Times New Roman" w:cs="Times New Roman"/>
          <w:color w:val="000000" w:themeColor="text1"/>
          <w:kern w:val="0"/>
          <w14:ligatures w14:val="none"/>
        </w:rPr>
        <w:t>. UNESCO.</w:t>
      </w:r>
    </w:p>
    <w:p w14:paraId="4DF16D71" w14:textId="77777777" w:rsidR="00ED5EBF" w:rsidRPr="00D26922" w:rsidRDefault="00ED5EBF"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United Educators. (2024, December). 2024 Top Risks Report: Insights for Higher Education. United Educators. </w:t>
      </w:r>
      <w:hyperlink r:id="rId23" w:history="1">
        <w:r w:rsidRPr="00D26922">
          <w:rPr>
            <w:rFonts w:ascii="Times New Roman" w:hAnsi="Times New Roman" w:cs="Times New Roman"/>
            <w:noProof/>
            <w:color w:val="000000" w:themeColor="text1"/>
          </w:rPr>
          <w:t>https://www.ue.org/4aff10/globalassets/risk-management/reports/top-risks-report-2024.pdf</w:t>
        </w:r>
      </w:hyperlink>
      <w:r w:rsidRPr="00D26922">
        <w:rPr>
          <w:rFonts w:ascii="Times New Roman" w:hAnsi="Times New Roman" w:cs="Times New Roman"/>
          <w:noProof/>
          <w:color w:val="000000" w:themeColor="text1"/>
        </w:rPr>
        <w:t xml:space="preserve"> </w:t>
      </w:r>
    </w:p>
    <w:p w14:paraId="42005B99" w14:textId="77777777" w:rsidR="007D3415" w:rsidRPr="00D26922" w:rsidRDefault="007D3415"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lastRenderedPageBreak/>
        <w:t xml:space="preserve">United Educators. (2025). Educators legal liability (ELL) coverage: Protecting education [PDF]. United Educators. </w:t>
      </w:r>
      <w:hyperlink r:id="rId24" w:history="1">
        <w:r w:rsidRPr="00D26922">
          <w:rPr>
            <w:rFonts w:ascii="Times New Roman" w:hAnsi="Times New Roman" w:cs="Times New Roman"/>
            <w:noProof/>
            <w:color w:val="000000" w:themeColor="text1"/>
          </w:rPr>
          <w:t>https://www.ue.org/495c59/globalassets/products/liability-insurance/ell-overview.pdf</w:t>
        </w:r>
      </w:hyperlink>
    </w:p>
    <w:p w14:paraId="22C6C45E"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University of Illinois Chicago. (2025). Misconduct, Whistleblower Protection and Investigations—Faculty Handbook.</w:t>
      </w:r>
    </w:p>
    <w:p w14:paraId="3E67FE13"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U.S. Department of Education, Office of Inspector General. (2022). Eye on ED: Whistleblower Protections. </w:t>
      </w:r>
      <w:hyperlink r:id="rId25" w:history="1">
        <w:r w:rsidR="008355B0" w:rsidRPr="00D26922">
          <w:rPr>
            <w:rStyle w:val="Hyperlink"/>
            <w:rFonts w:ascii="Times New Roman" w:hAnsi="Times New Roman" w:cs="Times New Roman"/>
            <w:noProof/>
            <w:color w:val="000000" w:themeColor="text1"/>
          </w:rPr>
          <w:t>https://oig.ed.gov/eye-ed-whistleblower-protections</w:t>
        </w:r>
      </w:hyperlink>
    </w:p>
    <w:p w14:paraId="368AF406" w14:textId="77777777" w:rsidR="008355B0" w:rsidRPr="00D26922" w:rsidRDefault="008355B0"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U.S. Department of Education, Office of Educational Technology. (2023). Artificial intelligence and the future of teaching and learning: Insights and recommendations. U.S. Department of Education.</w:t>
      </w:r>
    </w:p>
    <w:p w14:paraId="0BC04AD9"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U.S. Department of Education. (2025). College accreditation. </w:t>
      </w:r>
      <w:hyperlink r:id="rId26" w:history="1">
        <w:r w:rsidRPr="00D26922">
          <w:rPr>
            <w:rFonts w:ascii="Times New Roman" w:hAnsi="Times New Roman" w:cs="Times New Roman"/>
            <w:noProof/>
            <w:color w:val="000000" w:themeColor="text1"/>
          </w:rPr>
          <w:t>https://www.ed.gov/laws-and-policy/higher-education-laws-and-policy/college-accreditation</w:t>
        </w:r>
      </w:hyperlink>
    </w:p>
    <w:p w14:paraId="6B0410F0"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U.S. Department of Education. (2025). Executive Order Reforming Accreditation to Strengthen Higher Education. National Law Review. </w:t>
      </w:r>
      <w:hyperlink r:id="rId27" w:history="1">
        <w:r w:rsidRPr="00D26922">
          <w:rPr>
            <w:rFonts w:ascii="Times New Roman" w:hAnsi="Times New Roman" w:cs="Times New Roman"/>
            <w:noProof/>
            <w:color w:val="000000" w:themeColor="text1"/>
          </w:rPr>
          <w:t>https://natlawreview.com/article/higher-education-accreditation-under-scrutiny</w:t>
        </w:r>
      </w:hyperlink>
    </w:p>
    <w:p w14:paraId="160ACA8A" w14:textId="77777777" w:rsidR="00CE489B" w:rsidRPr="00D26922" w:rsidRDefault="00CE489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Wellman, J. V. (2003). Accreditation and the credit hour. New Directions for Higher Education, 122, 57–69.</w:t>
      </w:r>
    </w:p>
    <w:p w14:paraId="3708D3A5" w14:textId="77777777" w:rsidR="001B374B" w:rsidRPr="00D26922" w:rsidRDefault="001B374B"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Wikipedia. (2025, February). Workplace bullying in academia. In Wikipedia. </w:t>
      </w:r>
      <w:hyperlink r:id="rId28" w:history="1">
        <w:r w:rsidRPr="00D26922">
          <w:rPr>
            <w:rFonts w:ascii="Times New Roman" w:hAnsi="Times New Roman" w:cs="Times New Roman"/>
            <w:noProof/>
            <w:color w:val="000000" w:themeColor="text1"/>
          </w:rPr>
          <w:t>https://en.wikipedia.org/wiki/Workplace_bullying_in_academia</w:t>
        </w:r>
      </w:hyperlink>
    </w:p>
    <w:p w14:paraId="68AC2DAA" w14:textId="77777777" w:rsidR="00CE489B" w:rsidRPr="00D26922" w:rsidRDefault="00B95316" w:rsidP="003F4F75">
      <w:pPr>
        <w:pStyle w:val="Bibliography"/>
        <w:ind w:left="720" w:hanging="720"/>
        <w:rPr>
          <w:rFonts w:ascii="Times New Roman" w:hAnsi="Times New Roman" w:cs="Times New Roman"/>
          <w:color w:val="000000" w:themeColor="text1"/>
        </w:rPr>
      </w:pPr>
      <w:r w:rsidRPr="00D26922">
        <w:rPr>
          <w:rFonts w:ascii="Times New Roman" w:hAnsi="Times New Roman" w:cs="Times New Roman"/>
          <w:noProof/>
          <w:color w:val="000000" w:themeColor="text1"/>
        </w:rPr>
        <w:t xml:space="preserve">Wikipedia. (2025, March). Issues in higher education in the United States – College preparedness and remediation. In Wikipedia. </w:t>
      </w:r>
      <w:hyperlink r:id="rId29" w:history="1">
        <w:r w:rsidRPr="00D26922">
          <w:rPr>
            <w:rFonts w:ascii="Times New Roman" w:hAnsi="Times New Roman" w:cs="Times New Roman"/>
            <w:noProof/>
            <w:color w:val="000000" w:themeColor="text1"/>
          </w:rPr>
          <w:t>https://en.wikipedia.org/wiki/Issues_in_higher_education_in_the_United_States</w:t>
        </w:r>
      </w:hyperlink>
    </w:p>
    <w:p w14:paraId="3060D2F6" w14:textId="77777777" w:rsidR="00C31398" w:rsidRPr="00D26922" w:rsidRDefault="00C31398" w:rsidP="003F4F7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6922">
        <w:rPr>
          <w:rFonts w:ascii="Times New Roman" w:eastAsia="Times New Roman" w:hAnsi="Times New Roman" w:cs="Times New Roman"/>
          <w:color w:val="000000" w:themeColor="text1"/>
          <w:kern w:val="0"/>
          <w14:ligatures w14:val="none"/>
        </w:rPr>
        <w:t xml:space="preserve">World Economic Forum. (2024). </w:t>
      </w:r>
      <w:r w:rsidRPr="00D26922">
        <w:rPr>
          <w:rFonts w:ascii="Times New Roman" w:eastAsia="Times New Roman" w:hAnsi="Times New Roman" w:cs="Times New Roman"/>
          <w:i/>
          <w:iCs/>
          <w:color w:val="000000" w:themeColor="text1"/>
          <w:kern w:val="0"/>
          <w14:ligatures w14:val="none"/>
        </w:rPr>
        <w:t>Future of jobs report 2024</w:t>
      </w:r>
      <w:r w:rsidRPr="00D26922">
        <w:rPr>
          <w:rFonts w:ascii="Times New Roman" w:eastAsia="Times New Roman" w:hAnsi="Times New Roman" w:cs="Times New Roman"/>
          <w:color w:val="000000" w:themeColor="text1"/>
          <w:kern w:val="0"/>
          <w14:ligatures w14:val="none"/>
        </w:rPr>
        <w:t>. World Economic Forum.</w:t>
      </w:r>
    </w:p>
    <w:p w14:paraId="0D89F90B" w14:textId="77777777" w:rsidR="00B05980" w:rsidRPr="00D26922" w:rsidRDefault="00B05980" w:rsidP="003F4F75">
      <w:pPr>
        <w:pStyle w:val="Bibliography"/>
        <w:ind w:left="720" w:hanging="720"/>
        <w:rPr>
          <w:rFonts w:ascii="Times New Roman" w:hAnsi="Times New Roman" w:cs="Times New Roman"/>
          <w:noProof/>
          <w:color w:val="000000" w:themeColor="text1"/>
        </w:rPr>
      </w:pPr>
      <w:r w:rsidRPr="00D26922">
        <w:rPr>
          <w:rFonts w:ascii="Times New Roman" w:hAnsi="Times New Roman" w:cs="Times New Roman"/>
          <w:noProof/>
          <w:color w:val="000000" w:themeColor="text1"/>
        </w:rPr>
        <w:t xml:space="preserve">Yang, H. (2024). Leading program curriculum reform: reflections on challenges and successes. </w:t>
      </w:r>
      <w:r w:rsidRPr="00D26922">
        <w:rPr>
          <w:rFonts w:ascii="Times New Roman" w:hAnsi="Times New Roman" w:cs="Times New Roman"/>
          <w:i/>
          <w:iCs/>
          <w:noProof/>
          <w:color w:val="000000" w:themeColor="text1"/>
        </w:rPr>
        <w:t>Educational Action Research</w:t>
      </w:r>
      <w:r w:rsidRPr="00D26922">
        <w:rPr>
          <w:rFonts w:ascii="Times New Roman" w:hAnsi="Times New Roman" w:cs="Times New Roman"/>
          <w:noProof/>
          <w:color w:val="000000" w:themeColor="text1"/>
        </w:rPr>
        <w:t>,  1-19. https://doi-org.libraryproxy.griffith.edu.au/10.1080/09650792.2024.2385410.</w:t>
      </w:r>
    </w:p>
    <w:p w14:paraId="0123CE07" w14:textId="77777777" w:rsidR="00B95316" w:rsidRPr="00D26922" w:rsidRDefault="00B95316" w:rsidP="003F4F75">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p>
    <w:sectPr w:rsidR="00B95316" w:rsidRPr="00D26922">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A6D1" w14:textId="77777777" w:rsidR="00270A30" w:rsidRDefault="00270A30" w:rsidP="009E5A7D">
      <w:pPr>
        <w:spacing w:after="0" w:line="240" w:lineRule="auto"/>
      </w:pPr>
      <w:r>
        <w:separator/>
      </w:r>
    </w:p>
  </w:endnote>
  <w:endnote w:type="continuationSeparator" w:id="0">
    <w:p w14:paraId="4A613C94" w14:textId="77777777" w:rsidR="00270A30" w:rsidRDefault="00270A30" w:rsidP="009E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94495"/>
      <w:docPartObj>
        <w:docPartGallery w:val="Page Numbers (Bottom of Page)"/>
        <w:docPartUnique/>
      </w:docPartObj>
    </w:sdtPr>
    <w:sdtEndPr>
      <w:rPr>
        <w:noProof/>
      </w:rPr>
    </w:sdtEndPr>
    <w:sdtContent>
      <w:p w14:paraId="52237C95" w14:textId="77777777" w:rsidR="009E5A7D" w:rsidRDefault="009E5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F5445" w14:textId="42F297DF" w:rsidR="009E5A7D" w:rsidRPr="00AF3CC0" w:rsidRDefault="00AF3CC0">
    <w:pPr>
      <w:pStyle w:val="Footer"/>
      <w:rPr>
        <w:rFonts w:ascii="Helvetica" w:hAnsi="Helvetica" w:cs="Helvetica"/>
        <w:kern w:val="0"/>
        <w:sz w:val="16"/>
        <w:szCs w:val="16"/>
      </w:rPr>
    </w:pPr>
    <w:r w:rsidRPr="00AF3CC0">
      <w:rPr>
        <w:rFonts w:ascii="Helvetica" w:hAnsi="Helvetica" w:cs="Helvetica"/>
        <w:kern w:val="0"/>
        <w:sz w:val="16"/>
        <w:szCs w:val="16"/>
      </w:rPr>
      <w:t>https://journals.calstate.edu/ijaipil</w:t>
    </w:r>
    <w:r>
      <w:rPr>
        <w:rFonts w:ascii="Helvetica" w:hAnsi="Helvetica" w:cs="Helvetica"/>
        <w:kern w:val="0"/>
        <w:sz w:val="16"/>
        <w:szCs w:val="16"/>
      </w:rPr>
      <w:t xml:space="preserve"> </w:t>
    </w:r>
    <w:r w:rsidRPr="00AF3CC0">
      <w:rPr>
        <w:rFonts w:ascii="Helvetica" w:hAnsi="Helvetica" w:cs="Helvetica"/>
        <w:kern w:val="0"/>
        <w:sz w:val="16"/>
        <w:szCs w:val="16"/>
      </w:rPr>
      <w:t>3070-541X</w:t>
    </w:r>
    <w:r>
      <w:rPr>
        <w:rFonts w:ascii="Helvetica" w:hAnsi="Helvetica" w:cs="Helvetica"/>
        <w:kern w:val="0"/>
        <w:sz w:val="16"/>
        <w:szCs w:val="16"/>
      </w:rPr>
      <w:t xml:space="preserve">                                                                                          </w:t>
    </w:r>
    <w:r w:rsidRPr="00AF3CC0">
      <w:rPr>
        <w:rFonts w:ascii="Helvetica" w:hAnsi="Helvetica" w:cs="Helvetica"/>
        <w:kern w:val="0"/>
        <w:sz w:val="16"/>
        <w:szCs w:val="16"/>
      </w:rPr>
      <w:t>10.46787/</w:t>
    </w:r>
    <w:proofErr w:type="gramStart"/>
    <w:r w:rsidRPr="00AF3CC0">
      <w:rPr>
        <w:rFonts w:ascii="Helvetica" w:hAnsi="Helvetica" w:cs="Helvetica"/>
        <w:kern w:val="0"/>
        <w:sz w:val="16"/>
        <w:szCs w:val="16"/>
      </w:rPr>
      <w:t>ijaipil.v</w:t>
    </w:r>
    <w:proofErr w:type="gramEnd"/>
    <w:r w:rsidRPr="00AF3CC0">
      <w:rPr>
        <w:rFonts w:ascii="Helvetica" w:hAnsi="Helvetica" w:cs="Helvetica"/>
        <w:kern w:val="0"/>
        <w:sz w:val="16"/>
        <w:szCs w:val="16"/>
      </w:rPr>
      <w:t>2026i1.6951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D0FF" w14:textId="77777777" w:rsidR="00270A30" w:rsidRDefault="00270A30" w:rsidP="009E5A7D">
      <w:pPr>
        <w:spacing w:after="0" w:line="240" w:lineRule="auto"/>
      </w:pPr>
      <w:r>
        <w:separator/>
      </w:r>
    </w:p>
  </w:footnote>
  <w:footnote w:type="continuationSeparator" w:id="0">
    <w:p w14:paraId="092D5722" w14:textId="77777777" w:rsidR="00270A30" w:rsidRDefault="00270A30" w:rsidP="009E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C341" w14:textId="3064B726" w:rsidR="009E5A7D" w:rsidRPr="00AF3CC0" w:rsidRDefault="00AF3CC0">
    <w:pPr>
      <w:pStyle w:val="Header"/>
      <w:rPr>
        <w:sz w:val="16"/>
        <w:szCs w:val="16"/>
      </w:rPr>
    </w:pPr>
    <w:r w:rsidRPr="00AF3CC0">
      <w:rPr>
        <w:rFonts w:ascii="Helvetica" w:hAnsi="Helvetica" w:cs="Helvetica"/>
        <w:kern w:val="0"/>
        <w:sz w:val="16"/>
        <w:szCs w:val="16"/>
      </w:rPr>
      <w:t>International Journal of AI in Pedagogy, Innovation, and Learning Futures</w:t>
    </w:r>
    <w:r w:rsidR="000434A1">
      <w:rPr>
        <w:rFonts w:ascii="Helvetica" w:hAnsi="Helvetica" w:cs="Helvetica"/>
        <w:kern w:val="0"/>
        <w:sz w:val="16"/>
        <w:szCs w:val="16"/>
      </w:rPr>
      <w:t xml:space="preserve">                     </w:t>
    </w:r>
    <w:r w:rsidR="000434A1" w:rsidRPr="000434A1">
      <w:rPr>
        <w:rFonts w:ascii="Helvetica" w:hAnsi="Helvetica" w:cs="Helvetica"/>
        <w:kern w:val="0"/>
        <w:sz w:val="16"/>
        <w:szCs w:val="16"/>
      </w:rPr>
      <w:t>https://creativecommons.org/licenses/by/4.0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472"/>
    <w:multiLevelType w:val="multilevel"/>
    <w:tmpl w:val="80E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262E"/>
    <w:multiLevelType w:val="multilevel"/>
    <w:tmpl w:val="C50C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94FDC"/>
    <w:multiLevelType w:val="multilevel"/>
    <w:tmpl w:val="CAB4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73111"/>
    <w:multiLevelType w:val="multilevel"/>
    <w:tmpl w:val="2512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51FE2"/>
    <w:multiLevelType w:val="multilevel"/>
    <w:tmpl w:val="8FBA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52963"/>
    <w:multiLevelType w:val="multilevel"/>
    <w:tmpl w:val="C502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44E66"/>
    <w:multiLevelType w:val="multilevel"/>
    <w:tmpl w:val="C470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5515D"/>
    <w:multiLevelType w:val="multilevel"/>
    <w:tmpl w:val="6552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F3464"/>
    <w:multiLevelType w:val="multilevel"/>
    <w:tmpl w:val="35D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50982"/>
    <w:multiLevelType w:val="multilevel"/>
    <w:tmpl w:val="DC0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E2505"/>
    <w:multiLevelType w:val="multilevel"/>
    <w:tmpl w:val="E0E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C2900"/>
    <w:multiLevelType w:val="multilevel"/>
    <w:tmpl w:val="5B5C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E7DFF"/>
    <w:multiLevelType w:val="multilevel"/>
    <w:tmpl w:val="D45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B131E"/>
    <w:multiLevelType w:val="multilevel"/>
    <w:tmpl w:val="1AAE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126E7"/>
    <w:multiLevelType w:val="multilevel"/>
    <w:tmpl w:val="6AB8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F2B66"/>
    <w:multiLevelType w:val="multilevel"/>
    <w:tmpl w:val="4B463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73785"/>
    <w:multiLevelType w:val="multilevel"/>
    <w:tmpl w:val="42D0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5774E"/>
    <w:multiLevelType w:val="multilevel"/>
    <w:tmpl w:val="62B0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06876"/>
    <w:multiLevelType w:val="multilevel"/>
    <w:tmpl w:val="6BFC1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E58DD"/>
    <w:multiLevelType w:val="multilevel"/>
    <w:tmpl w:val="D77E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07321"/>
    <w:multiLevelType w:val="multilevel"/>
    <w:tmpl w:val="054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60862"/>
    <w:multiLevelType w:val="multilevel"/>
    <w:tmpl w:val="B1CA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471501">
    <w:abstractNumId w:val="11"/>
  </w:num>
  <w:num w:numId="2" w16cid:durableId="1644391229">
    <w:abstractNumId w:val="15"/>
  </w:num>
  <w:num w:numId="3" w16cid:durableId="1322462361">
    <w:abstractNumId w:val="18"/>
  </w:num>
  <w:num w:numId="4" w16cid:durableId="2145657072">
    <w:abstractNumId w:val="6"/>
  </w:num>
  <w:num w:numId="5" w16cid:durableId="1627545514">
    <w:abstractNumId w:val="5"/>
  </w:num>
  <w:num w:numId="6" w16cid:durableId="1640263487">
    <w:abstractNumId w:val="1"/>
  </w:num>
  <w:num w:numId="7" w16cid:durableId="199365654">
    <w:abstractNumId w:val="2"/>
  </w:num>
  <w:num w:numId="8" w16cid:durableId="104737760">
    <w:abstractNumId w:val="20"/>
  </w:num>
  <w:num w:numId="9" w16cid:durableId="981429350">
    <w:abstractNumId w:val="17"/>
  </w:num>
  <w:num w:numId="10" w16cid:durableId="1231310565">
    <w:abstractNumId w:val="8"/>
  </w:num>
  <w:num w:numId="11" w16cid:durableId="1733501402">
    <w:abstractNumId w:val="13"/>
  </w:num>
  <w:num w:numId="12" w16cid:durableId="1526603428">
    <w:abstractNumId w:val="16"/>
  </w:num>
  <w:num w:numId="13" w16cid:durableId="1101605575">
    <w:abstractNumId w:val="4"/>
  </w:num>
  <w:num w:numId="14" w16cid:durableId="1231388145">
    <w:abstractNumId w:val="9"/>
  </w:num>
  <w:num w:numId="15" w16cid:durableId="1050542225">
    <w:abstractNumId w:val="12"/>
  </w:num>
  <w:num w:numId="16" w16cid:durableId="2072384941">
    <w:abstractNumId w:val="19"/>
  </w:num>
  <w:num w:numId="17" w16cid:durableId="1081564028">
    <w:abstractNumId w:val="10"/>
  </w:num>
  <w:num w:numId="18" w16cid:durableId="1367635705">
    <w:abstractNumId w:val="21"/>
  </w:num>
  <w:num w:numId="19" w16cid:durableId="2104493694">
    <w:abstractNumId w:val="0"/>
  </w:num>
  <w:num w:numId="20" w16cid:durableId="1798066240">
    <w:abstractNumId w:val="7"/>
  </w:num>
  <w:num w:numId="21" w16cid:durableId="72514832">
    <w:abstractNumId w:val="14"/>
  </w:num>
  <w:num w:numId="22" w16cid:durableId="1500341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76"/>
    <w:rsid w:val="000061E2"/>
    <w:rsid w:val="000102A2"/>
    <w:rsid w:val="000434A1"/>
    <w:rsid w:val="00056DF9"/>
    <w:rsid w:val="00066A42"/>
    <w:rsid w:val="00080F69"/>
    <w:rsid w:val="00083E3D"/>
    <w:rsid w:val="000842B9"/>
    <w:rsid w:val="0009021C"/>
    <w:rsid w:val="000A63F7"/>
    <w:rsid w:val="000D51D7"/>
    <w:rsid w:val="000F06BF"/>
    <w:rsid w:val="00100331"/>
    <w:rsid w:val="0011101E"/>
    <w:rsid w:val="001116E6"/>
    <w:rsid w:val="001303DB"/>
    <w:rsid w:val="00131676"/>
    <w:rsid w:val="0013679E"/>
    <w:rsid w:val="0013737C"/>
    <w:rsid w:val="00146077"/>
    <w:rsid w:val="001720BD"/>
    <w:rsid w:val="00176A88"/>
    <w:rsid w:val="001B374B"/>
    <w:rsid w:val="001C17D4"/>
    <w:rsid w:val="001D3461"/>
    <w:rsid w:val="002062B3"/>
    <w:rsid w:val="00207BBB"/>
    <w:rsid w:val="00212F90"/>
    <w:rsid w:val="002167E6"/>
    <w:rsid w:val="00221580"/>
    <w:rsid w:val="002328E4"/>
    <w:rsid w:val="00237CC4"/>
    <w:rsid w:val="00253D88"/>
    <w:rsid w:val="00266D5A"/>
    <w:rsid w:val="00270A30"/>
    <w:rsid w:val="00270C55"/>
    <w:rsid w:val="002B596F"/>
    <w:rsid w:val="002B5FCD"/>
    <w:rsid w:val="002C6A10"/>
    <w:rsid w:val="002D3DCB"/>
    <w:rsid w:val="003015E2"/>
    <w:rsid w:val="00304B6E"/>
    <w:rsid w:val="00304BE2"/>
    <w:rsid w:val="00305C45"/>
    <w:rsid w:val="00306FD6"/>
    <w:rsid w:val="0033429B"/>
    <w:rsid w:val="0034264A"/>
    <w:rsid w:val="00342F58"/>
    <w:rsid w:val="0034581B"/>
    <w:rsid w:val="0035689A"/>
    <w:rsid w:val="00364C0A"/>
    <w:rsid w:val="00374F81"/>
    <w:rsid w:val="00375C65"/>
    <w:rsid w:val="003926C5"/>
    <w:rsid w:val="003B29B7"/>
    <w:rsid w:val="003C0D0E"/>
    <w:rsid w:val="003F4F75"/>
    <w:rsid w:val="004018FF"/>
    <w:rsid w:val="00414D0D"/>
    <w:rsid w:val="00426211"/>
    <w:rsid w:val="004524EC"/>
    <w:rsid w:val="00492B69"/>
    <w:rsid w:val="004A77AC"/>
    <w:rsid w:val="004E66BB"/>
    <w:rsid w:val="004F3779"/>
    <w:rsid w:val="00503DB4"/>
    <w:rsid w:val="005230D6"/>
    <w:rsid w:val="0053508A"/>
    <w:rsid w:val="00542837"/>
    <w:rsid w:val="00572987"/>
    <w:rsid w:val="00575B5D"/>
    <w:rsid w:val="00580281"/>
    <w:rsid w:val="0058152B"/>
    <w:rsid w:val="0058619F"/>
    <w:rsid w:val="0059054F"/>
    <w:rsid w:val="005A019D"/>
    <w:rsid w:val="005A6627"/>
    <w:rsid w:val="005C42AA"/>
    <w:rsid w:val="005C4D3C"/>
    <w:rsid w:val="005E0357"/>
    <w:rsid w:val="005E370B"/>
    <w:rsid w:val="006070DA"/>
    <w:rsid w:val="00612CAD"/>
    <w:rsid w:val="006229B7"/>
    <w:rsid w:val="006327E7"/>
    <w:rsid w:val="006344A9"/>
    <w:rsid w:val="0063451A"/>
    <w:rsid w:val="0064438D"/>
    <w:rsid w:val="00667E0E"/>
    <w:rsid w:val="00673F69"/>
    <w:rsid w:val="00676813"/>
    <w:rsid w:val="006961E5"/>
    <w:rsid w:val="006A1CC5"/>
    <w:rsid w:val="006A73D2"/>
    <w:rsid w:val="006B7522"/>
    <w:rsid w:val="006C515D"/>
    <w:rsid w:val="006E227F"/>
    <w:rsid w:val="006E2BC3"/>
    <w:rsid w:val="006E5AA2"/>
    <w:rsid w:val="006F0354"/>
    <w:rsid w:val="007508B1"/>
    <w:rsid w:val="00751AAA"/>
    <w:rsid w:val="0075598C"/>
    <w:rsid w:val="00771737"/>
    <w:rsid w:val="0078541B"/>
    <w:rsid w:val="007912D7"/>
    <w:rsid w:val="007B67BB"/>
    <w:rsid w:val="007C040A"/>
    <w:rsid w:val="007C2BDA"/>
    <w:rsid w:val="007C5C95"/>
    <w:rsid w:val="007D3415"/>
    <w:rsid w:val="007D6822"/>
    <w:rsid w:val="00816797"/>
    <w:rsid w:val="008355B0"/>
    <w:rsid w:val="00837878"/>
    <w:rsid w:val="0084128F"/>
    <w:rsid w:val="00860E9C"/>
    <w:rsid w:val="008632E3"/>
    <w:rsid w:val="00866EF1"/>
    <w:rsid w:val="00890887"/>
    <w:rsid w:val="008A0DC5"/>
    <w:rsid w:val="008D4057"/>
    <w:rsid w:val="008F693B"/>
    <w:rsid w:val="00901C76"/>
    <w:rsid w:val="0090322F"/>
    <w:rsid w:val="009046F3"/>
    <w:rsid w:val="0091527B"/>
    <w:rsid w:val="00925AD3"/>
    <w:rsid w:val="00927D35"/>
    <w:rsid w:val="00937A91"/>
    <w:rsid w:val="00955DB3"/>
    <w:rsid w:val="009861CD"/>
    <w:rsid w:val="00991AE3"/>
    <w:rsid w:val="009B3ED9"/>
    <w:rsid w:val="009B4A25"/>
    <w:rsid w:val="009C473C"/>
    <w:rsid w:val="009D020F"/>
    <w:rsid w:val="009D5CC6"/>
    <w:rsid w:val="009E59C5"/>
    <w:rsid w:val="009E5A7D"/>
    <w:rsid w:val="00A04723"/>
    <w:rsid w:val="00A06F4B"/>
    <w:rsid w:val="00A17295"/>
    <w:rsid w:val="00A31830"/>
    <w:rsid w:val="00A31EE8"/>
    <w:rsid w:val="00A31F0F"/>
    <w:rsid w:val="00A35578"/>
    <w:rsid w:val="00A369E8"/>
    <w:rsid w:val="00A37377"/>
    <w:rsid w:val="00A612DD"/>
    <w:rsid w:val="00A87B76"/>
    <w:rsid w:val="00AC1C4A"/>
    <w:rsid w:val="00AD209E"/>
    <w:rsid w:val="00AE320C"/>
    <w:rsid w:val="00AF3CC0"/>
    <w:rsid w:val="00B05980"/>
    <w:rsid w:val="00B07477"/>
    <w:rsid w:val="00B14D71"/>
    <w:rsid w:val="00B17F13"/>
    <w:rsid w:val="00B34B51"/>
    <w:rsid w:val="00B724F8"/>
    <w:rsid w:val="00B828E5"/>
    <w:rsid w:val="00B95316"/>
    <w:rsid w:val="00B97249"/>
    <w:rsid w:val="00BA4814"/>
    <w:rsid w:val="00BB4EAE"/>
    <w:rsid w:val="00BC074B"/>
    <w:rsid w:val="00BC2CA1"/>
    <w:rsid w:val="00BD0F77"/>
    <w:rsid w:val="00BD6973"/>
    <w:rsid w:val="00C120FE"/>
    <w:rsid w:val="00C217D1"/>
    <w:rsid w:val="00C22414"/>
    <w:rsid w:val="00C31398"/>
    <w:rsid w:val="00C317CB"/>
    <w:rsid w:val="00C71C5B"/>
    <w:rsid w:val="00C7710A"/>
    <w:rsid w:val="00C93590"/>
    <w:rsid w:val="00CA038E"/>
    <w:rsid w:val="00CA25E1"/>
    <w:rsid w:val="00CD0C4A"/>
    <w:rsid w:val="00CD0D78"/>
    <w:rsid w:val="00CE2FDA"/>
    <w:rsid w:val="00CE489B"/>
    <w:rsid w:val="00CE64F8"/>
    <w:rsid w:val="00CE7596"/>
    <w:rsid w:val="00D176CD"/>
    <w:rsid w:val="00D26922"/>
    <w:rsid w:val="00D4395D"/>
    <w:rsid w:val="00D56BB0"/>
    <w:rsid w:val="00DC450B"/>
    <w:rsid w:val="00DD5C46"/>
    <w:rsid w:val="00DE2A31"/>
    <w:rsid w:val="00DE2DF4"/>
    <w:rsid w:val="00DE7EC2"/>
    <w:rsid w:val="00E0080B"/>
    <w:rsid w:val="00E00D48"/>
    <w:rsid w:val="00E37274"/>
    <w:rsid w:val="00E523DB"/>
    <w:rsid w:val="00E55FEE"/>
    <w:rsid w:val="00E5694D"/>
    <w:rsid w:val="00E63299"/>
    <w:rsid w:val="00E803C3"/>
    <w:rsid w:val="00E85E4D"/>
    <w:rsid w:val="00E958F3"/>
    <w:rsid w:val="00EA1D5D"/>
    <w:rsid w:val="00EA214E"/>
    <w:rsid w:val="00EA5D4D"/>
    <w:rsid w:val="00EC1480"/>
    <w:rsid w:val="00ED51C9"/>
    <w:rsid w:val="00ED5EBF"/>
    <w:rsid w:val="00EE02DF"/>
    <w:rsid w:val="00F16E4E"/>
    <w:rsid w:val="00F3504C"/>
    <w:rsid w:val="00F611FA"/>
    <w:rsid w:val="00F67BEC"/>
    <w:rsid w:val="00FA0B28"/>
    <w:rsid w:val="00FA2C24"/>
    <w:rsid w:val="00FC5397"/>
    <w:rsid w:val="00FC59CE"/>
    <w:rsid w:val="00FD29BA"/>
    <w:rsid w:val="00FD4E39"/>
    <w:rsid w:val="00FE57BF"/>
    <w:rsid w:val="00FF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42DE"/>
  <w15:chartTrackingRefBased/>
  <w15:docId w15:val="{1EC742A1-35BB-43EC-A992-65309E4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B76"/>
    <w:rPr>
      <w:rFonts w:eastAsiaTheme="majorEastAsia" w:cstheme="majorBidi"/>
      <w:color w:val="272727" w:themeColor="text1" w:themeTint="D8"/>
    </w:rPr>
  </w:style>
  <w:style w:type="paragraph" w:styleId="Title">
    <w:name w:val="Title"/>
    <w:basedOn w:val="Normal"/>
    <w:next w:val="Normal"/>
    <w:link w:val="TitleChar"/>
    <w:uiPriority w:val="10"/>
    <w:qFormat/>
    <w:rsid w:val="00A8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B76"/>
    <w:pPr>
      <w:spacing w:before="160"/>
      <w:jc w:val="center"/>
    </w:pPr>
    <w:rPr>
      <w:i/>
      <w:iCs/>
      <w:color w:val="404040" w:themeColor="text1" w:themeTint="BF"/>
    </w:rPr>
  </w:style>
  <w:style w:type="character" w:customStyle="1" w:styleId="QuoteChar">
    <w:name w:val="Quote Char"/>
    <w:basedOn w:val="DefaultParagraphFont"/>
    <w:link w:val="Quote"/>
    <w:uiPriority w:val="29"/>
    <w:rsid w:val="00A87B76"/>
    <w:rPr>
      <w:i/>
      <w:iCs/>
      <w:color w:val="404040" w:themeColor="text1" w:themeTint="BF"/>
    </w:rPr>
  </w:style>
  <w:style w:type="paragraph" w:styleId="ListParagraph">
    <w:name w:val="List Paragraph"/>
    <w:basedOn w:val="Normal"/>
    <w:uiPriority w:val="34"/>
    <w:qFormat/>
    <w:rsid w:val="00A87B76"/>
    <w:pPr>
      <w:ind w:left="720"/>
      <w:contextualSpacing/>
    </w:pPr>
  </w:style>
  <w:style w:type="character" w:styleId="IntenseEmphasis">
    <w:name w:val="Intense Emphasis"/>
    <w:basedOn w:val="DefaultParagraphFont"/>
    <w:uiPriority w:val="21"/>
    <w:qFormat/>
    <w:rsid w:val="00A87B76"/>
    <w:rPr>
      <w:i/>
      <w:iCs/>
      <w:color w:val="0F4761" w:themeColor="accent1" w:themeShade="BF"/>
    </w:rPr>
  </w:style>
  <w:style w:type="paragraph" w:styleId="IntenseQuote">
    <w:name w:val="Intense Quote"/>
    <w:basedOn w:val="Normal"/>
    <w:next w:val="Normal"/>
    <w:link w:val="IntenseQuoteChar"/>
    <w:uiPriority w:val="30"/>
    <w:qFormat/>
    <w:rsid w:val="00A8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B76"/>
    <w:rPr>
      <w:i/>
      <w:iCs/>
      <w:color w:val="0F4761" w:themeColor="accent1" w:themeShade="BF"/>
    </w:rPr>
  </w:style>
  <w:style w:type="character" w:styleId="IntenseReference">
    <w:name w:val="Intense Reference"/>
    <w:basedOn w:val="DefaultParagraphFont"/>
    <w:uiPriority w:val="32"/>
    <w:qFormat/>
    <w:rsid w:val="00A87B76"/>
    <w:rPr>
      <w:b/>
      <w:bCs/>
      <w:smallCaps/>
      <w:color w:val="0F4761" w:themeColor="accent1" w:themeShade="BF"/>
      <w:spacing w:val="5"/>
    </w:rPr>
  </w:style>
  <w:style w:type="paragraph" w:styleId="NormalWeb">
    <w:name w:val="Normal (Web)"/>
    <w:basedOn w:val="Normal"/>
    <w:uiPriority w:val="99"/>
    <w:unhideWhenUsed/>
    <w:rsid w:val="00AC1C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1C4A"/>
    <w:rPr>
      <w:b/>
      <w:bCs/>
    </w:rPr>
  </w:style>
  <w:style w:type="character" w:customStyle="1" w:styleId="relative">
    <w:name w:val="relative"/>
    <w:basedOn w:val="DefaultParagraphFont"/>
    <w:rsid w:val="00AD209E"/>
  </w:style>
  <w:style w:type="character" w:styleId="Emphasis">
    <w:name w:val="Emphasis"/>
    <w:basedOn w:val="DefaultParagraphFont"/>
    <w:uiPriority w:val="20"/>
    <w:qFormat/>
    <w:rsid w:val="00EA1D5D"/>
    <w:rPr>
      <w:i/>
      <w:iCs/>
    </w:rPr>
  </w:style>
  <w:style w:type="character" w:customStyle="1" w:styleId="ms-1">
    <w:name w:val="ms-1"/>
    <w:basedOn w:val="DefaultParagraphFont"/>
    <w:rsid w:val="00B97249"/>
  </w:style>
  <w:style w:type="character" w:customStyle="1" w:styleId="max-w-full">
    <w:name w:val="max-w-full"/>
    <w:basedOn w:val="DefaultParagraphFont"/>
    <w:rsid w:val="00B97249"/>
  </w:style>
  <w:style w:type="character" w:customStyle="1" w:styleId="-me-1">
    <w:name w:val="-me-1"/>
    <w:basedOn w:val="DefaultParagraphFont"/>
    <w:rsid w:val="00B97249"/>
  </w:style>
  <w:style w:type="character" w:styleId="Hyperlink">
    <w:name w:val="Hyperlink"/>
    <w:basedOn w:val="DefaultParagraphFont"/>
    <w:uiPriority w:val="99"/>
    <w:unhideWhenUsed/>
    <w:rsid w:val="00CE489B"/>
    <w:rPr>
      <w:color w:val="467886" w:themeColor="hyperlink"/>
      <w:u w:val="single"/>
    </w:rPr>
  </w:style>
  <w:style w:type="character" w:styleId="UnresolvedMention">
    <w:name w:val="Unresolved Mention"/>
    <w:basedOn w:val="DefaultParagraphFont"/>
    <w:uiPriority w:val="99"/>
    <w:semiHidden/>
    <w:unhideWhenUsed/>
    <w:rsid w:val="009B3ED9"/>
    <w:rPr>
      <w:color w:val="605E5C"/>
      <w:shd w:val="clear" w:color="auto" w:fill="E1DFDD"/>
    </w:rPr>
  </w:style>
  <w:style w:type="paragraph" w:styleId="Header">
    <w:name w:val="header"/>
    <w:basedOn w:val="Normal"/>
    <w:link w:val="HeaderChar"/>
    <w:uiPriority w:val="99"/>
    <w:unhideWhenUsed/>
    <w:rsid w:val="009E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7D"/>
  </w:style>
  <w:style w:type="paragraph" w:styleId="Footer">
    <w:name w:val="footer"/>
    <w:basedOn w:val="Normal"/>
    <w:link w:val="FooterChar"/>
    <w:uiPriority w:val="99"/>
    <w:unhideWhenUsed/>
    <w:rsid w:val="009E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7D"/>
  </w:style>
  <w:style w:type="paragraph" w:styleId="Revision">
    <w:name w:val="Revision"/>
    <w:hidden/>
    <w:uiPriority w:val="99"/>
    <w:semiHidden/>
    <w:rsid w:val="00866EF1"/>
    <w:pPr>
      <w:spacing w:after="0" w:line="240" w:lineRule="auto"/>
    </w:pPr>
  </w:style>
  <w:style w:type="character" w:styleId="CommentReference">
    <w:name w:val="annotation reference"/>
    <w:basedOn w:val="DefaultParagraphFont"/>
    <w:uiPriority w:val="99"/>
    <w:semiHidden/>
    <w:unhideWhenUsed/>
    <w:rsid w:val="00771737"/>
    <w:rPr>
      <w:sz w:val="16"/>
      <w:szCs w:val="16"/>
    </w:rPr>
  </w:style>
  <w:style w:type="paragraph" w:styleId="CommentText">
    <w:name w:val="annotation text"/>
    <w:basedOn w:val="Normal"/>
    <w:link w:val="CommentTextChar"/>
    <w:uiPriority w:val="99"/>
    <w:semiHidden/>
    <w:unhideWhenUsed/>
    <w:rsid w:val="00771737"/>
    <w:pPr>
      <w:spacing w:line="240" w:lineRule="auto"/>
    </w:pPr>
    <w:rPr>
      <w:sz w:val="20"/>
      <w:szCs w:val="20"/>
    </w:rPr>
  </w:style>
  <w:style w:type="character" w:customStyle="1" w:styleId="CommentTextChar">
    <w:name w:val="Comment Text Char"/>
    <w:basedOn w:val="DefaultParagraphFont"/>
    <w:link w:val="CommentText"/>
    <w:uiPriority w:val="99"/>
    <w:semiHidden/>
    <w:rsid w:val="00771737"/>
    <w:rPr>
      <w:sz w:val="20"/>
      <w:szCs w:val="20"/>
    </w:rPr>
  </w:style>
  <w:style w:type="paragraph" w:styleId="CommentSubject">
    <w:name w:val="annotation subject"/>
    <w:basedOn w:val="CommentText"/>
    <w:next w:val="CommentText"/>
    <w:link w:val="CommentSubjectChar"/>
    <w:uiPriority w:val="99"/>
    <w:semiHidden/>
    <w:unhideWhenUsed/>
    <w:rsid w:val="00771737"/>
    <w:rPr>
      <w:b/>
      <w:bCs/>
    </w:rPr>
  </w:style>
  <w:style w:type="character" w:customStyle="1" w:styleId="CommentSubjectChar">
    <w:name w:val="Comment Subject Char"/>
    <w:basedOn w:val="CommentTextChar"/>
    <w:link w:val="CommentSubject"/>
    <w:uiPriority w:val="99"/>
    <w:semiHidden/>
    <w:rsid w:val="00771737"/>
    <w:rPr>
      <w:b/>
      <w:bCs/>
      <w:sz w:val="20"/>
      <w:szCs w:val="20"/>
    </w:rPr>
  </w:style>
  <w:style w:type="paragraph" w:styleId="Bibliography">
    <w:name w:val="Bibliography"/>
    <w:basedOn w:val="Normal"/>
    <w:next w:val="Normal"/>
    <w:uiPriority w:val="37"/>
    <w:unhideWhenUsed/>
    <w:rsid w:val="00EA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495">
      <w:bodyDiv w:val="1"/>
      <w:marLeft w:val="0"/>
      <w:marRight w:val="0"/>
      <w:marTop w:val="0"/>
      <w:marBottom w:val="0"/>
      <w:divBdr>
        <w:top w:val="none" w:sz="0" w:space="0" w:color="auto"/>
        <w:left w:val="none" w:sz="0" w:space="0" w:color="auto"/>
        <w:bottom w:val="none" w:sz="0" w:space="0" w:color="auto"/>
        <w:right w:val="none" w:sz="0" w:space="0" w:color="auto"/>
      </w:divBdr>
    </w:div>
    <w:div w:id="102967142">
      <w:bodyDiv w:val="1"/>
      <w:marLeft w:val="0"/>
      <w:marRight w:val="0"/>
      <w:marTop w:val="0"/>
      <w:marBottom w:val="0"/>
      <w:divBdr>
        <w:top w:val="none" w:sz="0" w:space="0" w:color="auto"/>
        <w:left w:val="none" w:sz="0" w:space="0" w:color="auto"/>
        <w:bottom w:val="none" w:sz="0" w:space="0" w:color="auto"/>
        <w:right w:val="none" w:sz="0" w:space="0" w:color="auto"/>
      </w:divBdr>
    </w:div>
    <w:div w:id="115372858">
      <w:bodyDiv w:val="1"/>
      <w:marLeft w:val="0"/>
      <w:marRight w:val="0"/>
      <w:marTop w:val="0"/>
      <w:marBottom w:val="0"/>
      <w:divBdr>
        <w:top w:val="none" w:sz="0" w:space="0" w:color="auto"/>
        <w:left w:val="none" w:sz="0" w:space="0" w:color="auto"/>
        <w:bottom w:val="none" w:sz="0" w:space="0" w:color="auto"/>
        <w:right w:val="none" w:sz="0" w:space="0" w:color="auto"/>
      </w:divBdr>
    </w:div>
    <w:div w:id="234366002">
      <w:bodyDiv w:val="1"/>
      <w:marLeft w:val="0"/>
      <w:marRight w:val="0"/>
      <w:marTop w:val="0"/>
      <w:marBottom w:val="0"/>
      <w:divBdr>
        <w:top w:val="none" w:sz="0" w:space="0" w:color="auto"/>
        <w:left w:val="none" w:sz="0" w:space="0" w:color="auto"/>
        <w:bottom w:val="none" w:sz="0" w:space="0" w:color="auto"/>
        <w:right w:val="none" w:sz="0" w:space="0" w:color="auto"/>
      </w:divBdr>
    </w:div>
    <w:div w:id="235361414">
      <w:bodyDiv w:val="1"/>
      <w:marLeft w:val="0"/>
      <w:marRight w:val="0"/>
      <w:marTop w:val="0"/>
      <w:marBottom w:val="0"/>
      <w:divBdr>
        <w:top w:val="none" w:sz="0" w:space="0" w:color="auto"/>
        <w:left w:val="none" w:sz="0" w:space="0" w:color="auto"/>
        <w:bottom w:val="none" w:sz="0" w:space="0" w:color="auto"/>
        <w:right w:val="none" w:sz="0" w:space="0" w:color="auto"/>
      </w:divBdr>
    </w:div>
    <w:div w:id="273369504">
      <w:bodyDiv w:val="1"/>
      <w:marLeft w:val="0"/>
      <w:marRight w:val="0"/>
      <w:marTop w:val="0"/>
      <w:marBottom w:val="0"/>
      <w:divBdr>
        <w:top w:val="none" w:sz="0" w:space="0" w:color="auto"/>
        <w:left w:val="none" w:sz="0" w:space="0" w:color="auto"/>
        <w:bottom w:val="none" w:sz="0" w:space="0" w:color="auto"/>
        <w:right w:val="none" w:sz="0" w:space="0" w:color="auto"/>
      </w:divBdr>
    </w:div>
    <w:div w:id="285695178">
      <w:bodyDiv w:val="1"/>
      <w:marLeft w:val="0"/>
      <w:marRight w:val="0"/>
      <w:marTop w:val="0"/>
      <w:marBottom w:val="0"/>
      <w:divBdr>
        <w:top w:val="none" w:sz="0" w:space="0" w:color="auto"/>
        <w:left w:val="none" w:sz="0" w:space="0" w:color="auto"/>
        <w:bottom w:val="none" w:sz="0" w:space="0" w:color="auto"/>
        <w:right w:val="none" w:sz="0" w:space="0" w:color="auto"/>
      </w:divBdr>
    </w:div>
    <w:div w:id="320281243">
      <w:bodyDiv w:val="1"/>
      <w:marLeft w:val="0"/>
      <w:marRight w:val="0"/>
      <w:marTop w:val="0"/>
      <w:marBottom w:val="0"/>
      <w:divBdr>
        <w:top w:val="none" w:sz="0" w:space="0" w:color="auto"/>
        <w:left w:val="none" w:sz="0" w:space="0" w:color="auto"/>
        <w:bottom w:val="none" w:sz="0" w:space="0" w:color="auto"/>
        <w:right w:val="none" w:sz="0" w:space="0" w:color="auto"/>
      </w:divBdr>
    </w:div>
    <w:div w:id="366105581">
      <w:bodyDiv w:val="1"/>
      <w:marLeft w:val="0"/>
      <w:marRight w:val="0"/>
      <w:marTop w:val="0"/>
      <w:marBottom w:val="0"/>
      <w:divBdr>
        <w:top w:val="none" w:sz="0" w:space="0" w:color="auto"/>
        <w:left w:val="none" w:sz="0" w:space="0" w:color="auto"/>
        <w:bottom w:val="none" w:sz="0" w:space="0" w:color="auto"/>
        <w:right w:val="none" w:sz="0" w:space="0" w:color="auto"/>
      </w:divBdr>
    </w:div>
    <w:div w:id="395322022">
      <w:bodyDiv w:val="1"/>
      <w:marLeft w:val="0"/>
      <w:marRight w:val="0"/>
      <w:marTop w:val="0"/>
      <w:marBottom w:val="0"/>
      <w:divBdr>
        <w:top w:val="none" w:sz="0" w:space="0" w:color="auto"/>
        <w:left w:val="none" w:sz="0" w:space="0" w:color="auto"/>
        <w:bottom w:val="none" w:sz="0" w:space="0" w:color="auto"/>
        <w:right w:val="none" w:sz="0" w:space="0" w:color="auto"/>
      </w:divBdr>
    </w:div>
    <w:div w:id="417601404">
      <w:bodyDiv w:val="1"/>
      <w:marLeft w:val="0"/>
      <w:marRight w:val="0"/>
      <w:marTop w:val="0"/>
      <w:marBottom w:val="0"/>
      <w:divBdr>
        <w:top w:val="none" w:sz="0" w:space="0" w:color="auto"/>
        <w:left w:val="none" w:sz="0" w:space="0" w:color="auto"/>
        <w:bottom w:val="none" w:sz="0" w:space="0" w:color="auto"/>
        <w:right w:val="none" w:sz="0" w:space="0" w:color="auto"/>
      </w:divBdr>
    </w:div>
    <w:div w:id="544831500">
      <w:bodyDiv w:val="1"/>
      <w:marLeft w:val="0"/>
      <w:marRight w:val="0"/>
      <w:marTop w:val="0"/>
      <w:marBottom w:val="0"/>
      <w:divBdr>
        <w:top w:val="none" w:sz="0" w:space="0" w:color="auto"/>
        <w:left w:val="none" w:sz="0" w:space="0" w:color="auto"/>
        <w:bottom w:val="none" w:sz="0" w:space="0" w:color="auto"/>
        <w:right w:val="none" w:sz="0" w:space="0" w:color="auto"/>
      </w:divBdr>
    </w:div>
    <w:div w:id="569653064">
      <w:bodyDiv w:val="1"/>
      <w:marLeft w:val="0"/>
      <w:marRight w:val="0"/>
      <w:marTop w:val="0"/>
      <w:marBottom w:val="0"/>
      <w:divBdr>
        <w:top w:val="none" w:sz="0" w:space="0" w:color="auto"/>
        <w:left w:val="none" w:sz="0" w:space="0" w:color="auto"/>
        <w:bottom w:val="none" w:sz="0" w:space="0" w:color="auto"/>
        <w:right w:val="none" w:sz="0" w:space="0" w:color="auto"/>
      </w:divBdr>
    </w:div>
    <w:div w:id="640842814">
      <w:bodyDiv w:val="1"/>
      <w:marLeft w:val="0"/>
      <w:marRight w:val="0"/>
      <w:marTop w:val="0"/>
      <w:marBottom w:val="0"/>
      <w:divBdr>
        <w:top w:val="none" w:sz="0" w:space="0" w:color="auto"/>
        <w:left w:val="none" w:sz="0" w:space="0" w:color="auto"/>
        <w:bottom w:val="none" w:sz="0" w:space="0" w:color="auto"/>
        <w:right w:val="none" w:sz="0" w:space="0" w:color="auto"/>
      </w:divBdr>
    </w:div>
    <w:div w:id="858738496">
      <w:bodyDiv w:val="1"/>
      <w:marLeft w:val="0"/>
      <w:marRight w:val="0"/>
      <w:marTop w:val="0"/>
      <w:marBottom w:val="0"/>
      <w:divBdr>
        <w:top w:val="none" w:sz="0" w:space="0" w:color="auto"/>
        <w:left w:val="none" w:sz="0" w:space="0" w:color="auto"/>
        <w:bottom w:val="none" w:sz="0" w:space="0" w:color="auto"/>
        <w:right w:val="none" w:sz="0" w:space="0" w:color="auto"/>
      </w:divBdr>
    </w:div>
    <w:div w:id="872308213">
      <w:bodyDiv w:val="1"/>
      <w:marLeft w:val="0"/>
      <w:marRight w:val="0"/>
      <w:marTop w:val="0"/>
      <w:marBottom w:val="0"/>
      <w:divBdr>
        <w:top w:val="none" w:sz="0" w:space="0" w:color="auto"/>
        <w:left w:val="none" w:sz="0" w:space="0" w:color="auto"/>
        <w:bottom w:val="none" w:sz="0" w:space="0" w:color="auto"/>
        <w:right w:val="none" w:sz="0" w:space="0" w:color="auto"/>
      </w:divBdr>
    </w:div>
    <w:div w:id="954486852">
      <w:bodyDiv w:val="1"/>
      <w:marLeft w:val="0"/>
      <w:marRight w:val="0"/>
      <w:marTop w:val="0"/>
      <w:marBottom w:val="0"/>
      <w:divBdr>
        <w:top w:val="none" w:sz="0" w:space="0" w:color="auto"/>
        <w:left w:val="none" w:sz="0" w:space="0" w:color="auto"/>
        <w:bottom w:val="none" w:sz="0" w:space="0" w:color="auto"/>
        <w:right w:val="none" w:sz="0" w:space="0" w:color="auto"/>
      </w:divBdr>
    </w:div>
    <w:div w:id="974681415">
      <w:bodyDiv w:val="1"/>
      <w:marLeft w:val="0"/>
      <w:marRight w:val="0"/>
      <w:marTop w:val="0"/>
      <w:marBottom w:val="0"/>
      <w:divBdr>
        <w:top w:val="none" w:sz="0" w:space="0" w:color="auto"/>
        <w:left w:val="none" w:sz="0" w:space="0" w:color="auto"/>
        <w:bottom w:val="none" w:sz="0" w:space="0" w:color="auto"/>
        <w:right w:val="none" w:sz="0" w:space="0" w:color="auto"/>
      </w:divBdr>
    </w:div>
    <w:div w:id="1043989747">
      <w:bodyDiv w:val="1"/>
      <w:marLeft w:val="0"/>
      <w:marRight w:val="0"/>
      <w:marTop w:val="0"/>
      <w:marBottom w:val="0"/>
      <w:divBdr>
        <w:top w:val="none" w:sz="0" w:space="0" w:color="auto"/>
        <w:left w:val="none" w:sz="0" w:space="0" w:color="auto"/>
        <w:bottom w:val="none" w:sz="0" w:space="0" w:color="auto"/>
        <w:right w:val="none" w:sz="0" w:space="0" w:color="auto"/>
      </w:divBdr>
    </w:div>
    <w:div w:id="1085372563">
      <w:bodyDiv w:val="1"/>
      <w:marLeft w:val="0"/>
      <w:marRight w:val="0"/>
      <w:marTop w:val="0"/>
      <w:marBottom w:val="0"/>
      <w:divBdr>
        <w:top w:val="none" w:sz="0" w:space="0" w:color="auto"/>
        <w:left w:val="none" w:sz="0" w:space="0" w:color="auto"/>
        <w:bottom w:val="none" w:sz="0" w:space="0" w:color="auto"/>
        <w:right w:val="none" w:sz="0" w:space="0" w:color="auto"/>
      </w:divBdr>
    </w:div>
    <w:div w:id="1117404810">
      <w:bodyDiv w:val="1"/>
      <w:marLeft w:val="0"/>
      <w:marRight w:val="0"/>
      <w:marTop w:val="0"/>
      <w:marBottom w:val="0"/>
      <w:divBdr>
        <w:top w:val="none" w:sz="0" w:space="0" w:color="auto"/>
        <w:left w:val="none" w:sz="0" w:space="0" w:color="auto"/>
        <w:bottom w:val="none" w:sz="0" w:space="0" w:color="auto"/>
        <w:right w:val="none" w:sz="0" w:space="0" w:color="auto"/>
      </w:divBdr>
    </w:div>
    <w:div w:id="1215190456">
      <w:bodyDiv w:val="1"/>
      <w:marLeft w:val="0"/>
      <w:marRight w:val="0"/>
      <w:marTop w:val="0"/>
      <w:marBottom w:val="0"/>
      <w:divBdr>
        <w:top w:val="none" w:sz="0" w:space="0" w:color="auto"/>
        <w:left w:val="none" w:sz="0" w:space="0" w:color="auto"/>
        <w:bottom w:val="none" w:sz="0" w:space="0" w:color="auto"/>
        <w:right w:val="none" w:sz="0" w:space="0" w:color="auto"/>
      </w:divBdr>
    </w:div>
    <w:div w:id="1368791902">
      <w:bodyDiv w:val="1"/>
      <w:marLeft w:val="0"/>
      <w:marRight w:val="0"/>
      <w:marTop w:val="0"/>
      <w:marBottom w:val="0"/>
      <w:divBdr>
        <w:top w:val="none" w:sz="0" w:space="0" w:color="auto"/>
        <w:left w:val="none" w:sz="0" w:space="0" w:color="auto"/>
        <w:bottom w:val="none" w:sz="0" w:space="0" w:color="auto"/>
        <w:right w:val="none" w:sz="0" w:space="0" w:color="auto"/>
      </w:divBdr>
    </w:div>
    <w:div w:id="1532760907">
      <w:bodyDiv w:val="1"/>
      <w:marLeft w:val="0"/>
      <w:marRight w:val="0"/>
      <w:marTop w:val="0"/>
      <w:marBottom w:val="0"/>
      <w:divBdr>
        <w:top w:val="none" w:sz="0" w:space="0" w:color="auto"/>
        <w:left w:val="none" w:sz="0" w:space="0" w:color="auto"/>
        <w:bottom w:val="none" w:sz="0" w:space="0" w:color="auto"/>
        <w:right w:val="none" w:sz="0" w:space="0" w:color="auto"/>
      </w:divBdr>
    </w:div>
    <w:div w:id="1560937304">
      <w:bodyDiv w:val="1"/>
      <w:marLeft w:val="0"/>
      <w:marRight w:val="0"/>
      <w:marTop w:val="0"/>
      <w:marBottom w:val="0"/>
      <w:divBdr>
        <w:top w:val="none" w:sz="0" w:space="0" w:color="auto"/>
        <w:left w:val="none" w:sz="0" w:space="0" w:color="auto"/>
        <w:bottom w:val="none" w:sz="0" w:space="0" w:color="auto"/>
        <w:right w:val="none" w:sz="0" w:space="0" w:color="auto"/>
      </w:divBdr>
    </w:div>
    <w:div w:id="1691101697">
      <w:bodyDiv w:val="1"/>
      <w:marLeft w:val="0"/>
      <w:marRight w:val="0"/>
      <w:marTop w:val="0"/>
      <w:marBottom w:val="0"/>
      <w:divBdr>
        <w:top w:val="none" w:sz="0" w:space="0" w:color="auto"/>
        <w:left w:val="none" w:sz="0" w:space="0" w:color="auto"/>
        <w:bottom w:val="none" w:sz="0" w:space="0" w:color="auto"/>
        <w:right w:val="none" w:sz="0" w:space="0" w:color="auto"/>
      </w:divBdr>
    </w:div>
    <w:div w:id="1732851052">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02796149">
      <w:bodyDiv w:val="1"/>
      <w:marLeft w:val="0"/>
      <w:marRight w:val="0"/>
      <w:marTop w:val="0"/>
      <w:marBottom w:val="0"/>
      <w:divBdr>
        <w:top w:val="none" w:sz="0" w:space="0" w:color="auto"/>
        <w:left w:val="none" w:sz="0" w:space="0" w:color="auto"/>
        <w:bottom w:val="none" w:sz="0" w:space="0" w:color="auto"/>
        <w:right w:val="none" w:sz="0" w:space="0" w:color="auto"/>
      </w:divBdr>
    </w:div>
    <w:div w:id="1829402374">
      <w:bodyDiv w:val="1"/>
      <w:marLeft w:val="0"/>
      <w:marRight w:val="0"/>
      <w:marTop w:val="0"/>
      <w:marBottom w:val="0"/>
      <w:divBdr>
        <w:top w:val="none" w:sz="0" w:space="0" w:color="auto"/>
        <w:left w:val="none" w:sz="0" w:space="0" w:color="auto"/>
        <w:bottom w:val="none" w:sz="0" w:space="0" w:color="auto"/>
        <w:right w:val="none" w:sz="0" w:space="0" w:color="auto"/>
      </w:divBdr>
    </w:div>
    <w:div w:id="19561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phat.com/blog/print-textbook-editions/" TargetMode="External"/><Relationship Id="rId18" Type="http://schemas.openxmlformats.org/officeDocument/2006/relationships/hyperlink" Target="https://mssiphiwemoyo.com/blog/fix-avoid-outdated-educational-materials/" TargetMode="External"/><Relationship Id="rId26" Type="http://schemas.openxmlformats.org/officeDocument/2006/relationships/hyperlink" Target="https://www.ed.gov/laws-and-policy/higher-education-laws-and-policy/college-accreditation" TargetMode="External"/><Relationship Id="rId3" Type="http://schemas.openxmlformats.org/officeDocument/2006/relationships/styles" Target="styles.xml"/><Relationship Id="rId21" Type="http://schemas.openxmlformats.org/officeDocument/2006/relationships/hyperlink" Target="https://about.noodle.com/insight/from-risk-to-reputation-the-hidden-cost-of-outdated-curriculum/" TargetMode="External"/><Relationship Id="rId7" Type="http://schemas.openxmlformats.org/officeDocument/2006/relationships/endnotes" Target="endnotes.xml"/><Relationship Id="rId12" Type="http://schemas.openxmlformats.org/officeDocument/2006/relationships/hyperlink" Target="https://changinghighered.com/top-risks-in-higher-education-erm-programs/" TargetMode="External"/><Relationship Id="rId17" Type="http://schemas.openxmlformats.org/officeDocument/2006/relationships/hyperlink" Target="https://hbsp.harvard.edu" TargetMode="External"/><Relationship Id="rId25" Type="http://schemas.openxmlformats.org/officeDocument/2006/relationships/hyperlink" Target="https://oig.ed.gov/eye-ed-whistleblower-protect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rblearn.org/blog/conduct-a-curriculum-audit/" TargetMode="External"/><Relationship Id="rId20" Type="http://schemas.openxmlformats.org/officeDocument/2006/relationships/hyperlink" Target="https://doi.org/10.1007/s10734-024-01248-4" TargetMode="External"/><Relationship Id="rId29" Type="http://schemas.openxmlformats.org/officeDocument/2006/relationships/hyperlink" Target="https://en.wikipedia.org/wiki/Issues_in_higher_education_in_the_United_St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bbeducation.com/blog/ghost-faculty-hollow-content-the-hidden-risk-of-scaling-online-without-quality" TargetMode="External"/><Relationship Id="rId24" Type="http://schemas.openxmlformats.org/officeDocument/2006/relationships/hyperlink" Target="https://www.ue.org/495c59/globalassets/products/liability-insurance/ell-overview.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llucian.com/news/national-survey-reveals-59-college-students-considered-dropping-out-due-financial-stress" TargetMode="External"/><Relationship Id="rId23" Type="http://schemas.openxmlformats.org/officeDocument/2006/relationships/hyperlink" Target="https://www.ue.org/4aff10/globalassets/risk-management/reports/top-risks-report-2024.pdf" TargetMode="External"/><Relationship Id="rId28" Type="http://schemas.openxmlformats.org/officeDocument/2006/relationships/hyperlink" Target="https://en.wikipedia.org/wiki/Workplace_bullying_in_academia" TargetMode="External"/><Relationship Id="rId10" Type="http://schemas.openxmlformats.org/officeDocument/2006/relationships/hyperlink" Target="https://apastyle.apa.org/blog/outdated-sources-myth" TargetMode="External"/><Relationship Id="rId19" Type="http://schemas.openxmlformats.org/officeDocument/2006/relationships/hyperlink" Target="https://natlawreview.com/article/higher-education-accreditation-under-scrutin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acsb.edu/insights/reports/2023-state-of-accreditation-report" TargetMode="External"/><Relationship Id="rId14" Type="http://schemas.openxmlformats.org/officeDocument/2006/relationships/hyperlink" Target="https://casetext.com/case/demers-v-austin-4" TargetMode="External"/><Relationship Id="rId22" Type="http://schemas.openxmlformats.org/officeDocument/2006/relationships/hyperlink" Target="https://www.qahe.org.uk" TargetMode="External"/><Relationship Id="rId27" Type="http://schemas.openxmlformats.org/officeDocument/2006/relationships/hyperlink" Target="https://natlawreview.com/article/higher-education-accreditation-under-scrutiny"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21K25</b:Tag>
    <b:SourceType>InternetSite</b:SourceType>
    <b:Guid>{B6655234-6591-3147-85E4-7E9D23E70D00}</b:Guid>
    <b:Title>21K School</b:Title>
    <b:Year>2025</b:Year>
    <b:Author>
      <b:Author>
        <b:Corporate>21K school team</b:Corporate>
      </b:Author>
    </b:Author>
    <b:InternetSiteTitle>How Higher Education Is Becoming Increasingly Irrelevant?</b:InternetSiteTitle>
    <b:URL>https://www.21kschool.com/in/blog/how-higher-education-is-becoming-increasingly-irrelevant/</b:URL>
    <b:Month>August</b:Month>
    <b:Day>11</b:Day>
    <b:RefOrder>2</b:RefOrder>
  </b:Source>
  <b:Source>
    <b:Tag>Buc24</b:Tag>
    <b:SourceType>InternetSite</b:SourceType>
    <b:Guid>{0FDC1369-16AB-B64B-97A1-10901498D8BC}</b:Guid>
    <b:Author>
      <b:Author>
        <b:NameList>
          <b:Person>
            <b:Last>Bucklye</b:Last>
            <b:First>S.</b:First>
          </b:Person>
        </b:NameList>
      </b:Author>
    </b:Author>
    <b:Title>A global imperative to tackle tertiary system reform</b:Title>
    <b:InternetSiteTitle>ACER</b:InternetSiteTitle>
    <b:URL>https://www.acer.org/my/news/article/a-global-imperative-to-tackle-tertiary-system-reform</b:URL>
    <b:Year>2024</b:Year>
    <b:Month>August</b:Month>
    <b:Day>27</b:Day>
    <b:RefOrder>3</b:RefOrder>
  </b:Source>
  <b:Source>
    <b:Tag>Kar22</b:Tag>
    <b:SourceType>Report</b:SourceType>
    <b:Guid>{01FFDB7E-5DB8-3642-BBD9-E3A677DE1143}</b:Guid>
    <b:Title>Quality and relevance of programmes in higher education. Paper commissioned by UNESCO for the World Higher Education Conference 18-22 May 2022</b:Title>
    <b:Year>2022</b:Year>
    <b:Author>
      <b:Author>
        <b:NameList>
          <b:Person>
            <b:Last>Karakhanyan</b:Last>
            <b:First>S.</b:First>
          </b:Person>
        </b:NameList>
      </b:Author>
    </b:Author>
    <b:Publisher>UNESCO 2022</b:Publisher>
    <b:RefOrder>1</b:RefOrder>
  </b:Source>
  <b:Source>
    <b:Tag>Hon24</b:Tag>
    <b:SourceType>ArticleInAPeriodical</b:SourceType>
    <b:Guid>{460981E4-F745-3040-A22D-9C1DB9DFA0A5}</b:Guid>
    <b:Title>Academics’ experiences of university-wide top-down curriculum reform in Finland</b:Title>
    <b:Year>2024</b:Year>
    <b:PeriodicalTitle>Journal of Further and Higher Education</b:PeriodicalTitle>
    <b:Pages>594–607</b:Pages>
    <b:Author>
      <b:Author>
        <b:NameList>
          <b:Person>
            <b:Last>Honkimaki</b:Last>
            <b:First>S.</b:First>
          </b:Person>
          <b:Person>
            <b:Last>Jaaskela</b:Last>
            <b:First>P.</b:First>
          </b:Person>
          <b:Person>
            <b:Last>Tynjala</b:Last>
            <b:First>P.</b:First>
          </b:Person>
        </b:NameList>
      </b:Author>
    </b:Author>
    <b:Volume>48</b:Volume>
    <b:Issue>6</b:Issue>
    <b:RefOrder>5</b:RefOrder>
  </b:Source>
  <b:Source>
    <b:Tag>Yan24</b:Tag>
    <b:SourceType>ArticleInAPeriodical</b:SourceType>
    <b:Guid>{074366B5-330F-E040-8578-994AAD46BAFA}</b:Guid>
    <b:Title>Leading program curriculum reform: reflections on challenges and successes</b:Title>
    <b:PeriodicalTitle>Educational Action Research</b:PeriodicalTitle>
    <b:Year>2024</b:Year>
    <b:Pages>1-19. https://doi-org.libraryproxy.griffith.edu.au/10.1080/09650792.2024.2385410</b:Pages>
    <b:Author>
      <b:Author>
        <b:NameList>
          <b:Person>
            <b:Last>Yang</b:Last>
            <b:First>H.</b:First>
          </b:Person>
        </b:NameList>
      </b:Author>
    </b:Author>
    <b:RefOrder>4</b:RefOrder>
  </b:Source>
</b:Sources>
</file>

<file path=customXml/itemProps1.xml><?xml version="1.0" encoding="utf-8"?>
<ds:datastoreItem xmlns:ds="http://schemas.openxmlformats.org/officeDocument/2006/customXml" ds:itemID="{0AF10BA4-BB2B-B149-B6F0-3F664150223D}">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6984</Words>
  <Characters>39811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Cal State San Bernardino</Company>
  <LinksUpToDate>false</LinksUpToDate>
  <CharactersWithSpaces>46702</CharactersWithSpaces>
  <SharedDoc>false</SharedDoc>
  <HLinks>
    <vt:vector size="126" baseType="variant">
      <vt:variant>
        <vt:i4>6488085</vt:i4>
      </vt:variant>
      <vt:variant>
        <vt:i4>81</vt:i4>
      </vt:variant>
      <vt:variant>
        <vt:i4>0</vt:i4>
      </vt:variant>
      <vt:variant>
        <vt:i4>5</vt:i4>
      </vt:variant>
      <vt:variant>
        <vt:lpwstr>https://en.wikipedia.org/wiki/Issues_in_higher_education_in_the_United_States</vt:lpwstr>
      </vt:variant>
      <vt:variant>
        <vt:lpwstr/>
      </vt:variant>
      <vt:variant>
        <vt:i4>5439521</vt:i4>
      </vt:variant>
      <vt:variant>
        <vt:i4>78</vt:i4>
      </vt:variant>
      <vt:variant>
        <vt:i4>0</vt:i4>
      </vt:variant>
      <vt:variant>
        <vt:i4>5</vt:i4>
      </vt:variant>
      <vt:variant>
        <vt:lpwstr>https://en.wikipedia.org/wiki/Workplace_bullying_in_academia</vt:lpwstr>
      </vt:variant>
      <vt:variant>
        <vt:lpwstr/>
      </vt:variant>
      <vt:variant>
        <vt:i4>7078009</vt:i4>
      </vt:variant>
      <vt:variant>
        <vt:i4>75</vt:i4>
      </vt:variant>
      <vt:variant>
        <vt:i4>0</vt:i4>
      </vt:variant>
      <vt:variant>
        <vt:i4>5</vt:i4>
      </vt:variant>
      <vt:variant>
        <vt:lpwstr>https://natlawreview.com/article/higher-education-accreditation-under-scrutiny</vt:lpwstr>
      </vt:variant>
      <vt:variant>
        <vt:lpwstr/>
      </vt:variant>
      <vt:variant>
        <vt:i4>5570570</vt:i4>
      </vt:variant>
      <vt:variant>
        <vt:i4>72</vt:i4>
      </vt:variant>
      <vt:variant>
        <vt:i4>0</vt:i4>
      </vt:variant>
      <vt:variant>
        <vt:i4>5</vt:i4>
      </vt:variant>
      <vt:variant>
        <vt:lpwstr>https://www.ed.gov/laws-and-policy/higher-education-laws-and-policy/college-accreditation</vt:lpwstr>
      </vt:variant>
      <vt:variant>
        <vt:lpwstr/>
      </vt:variant>
      <vt:variant>
        <vt:i4>3866740</vt:i4>
      </vt:variant>
      <vt:variant>
        <vt:i4>69</vt:i4>
      </vt:variant>
      <vt:variant>
        <vt:i4>0</vt:i4>
      </vt:variant>
      <vt:variant>
        <vt:i4>5</vt:i4>
      </vt:variant>
      <vt:variant>
        <vt:lpwstr>https://oig.ed.gov/eye-ed-whistleblower-protections</vt:lpwstr>
      </vt:variant>
      <vt:variant>
        <vt:lpwstr/>
      </vt:variant>
      <vt:variant>
        <vt:i4>5046350</vt:i4>
      </vt:variant>
      <vt:variant>
        <vt:i4>66</vt:i4>
      </vt:variant>
      <vt:variant>
        <vt:i4>0</vt:i4>
      </vt:variant>
      <vt:variant>
        <vt:i4>5</vt:i4>
      </vt:variant>
      <vt:variant>
        <vt:lpwstr>https://www.ue.org/495c59/globalassets/products/liability-insurance/ell-overview.pdf</vt:lpwstr>
      </vt:variant>
      <vt:variant>
        <vt:lpwstr/>
      </vt:variant>
      <vt:variant>
        <vt:i4>786451</vt:i4>
      </vt:variant>
      <vt:variant>
        <vt:i4>63</vt:i4>
      </vt:variant>
      <vt:variant>
        <vt:i4>0</vt:i4>
      </vt:variant>
      <vt:variant>
        <vt:i4>5</vt:i4>
      </vt:variant>
      <vt:variant>
        <vt:lpwstr>https://www.ue.org/4aff10/globalassets/risk-management/reports/top-risks-report-2024.pdf</vt:lpwstr>
      </vt:variant>
      <vt:variant>
        <vt:lpwstr/>
      </vt:variant>
      <vt:variant>
        <vt:i4>1966144</vt:i4>
      </vt:variant>
      <vt:variant>
        <vt:i4>60</vt:i4>
      </vt:variant>
      <vt:variant>
        <vt:i4>0</vt:i4>
      </vt:variant>
      <vt:variant>
        <vt:i4>5</vt:i4>
      </vt:variant>
      <vt:variant>
        <vt:lpwstr>https://www.qahe.org.uk/</vt:lpwstr>
      </vt:variant>
      <vt:variant>
        <vt:lpwstr/>
      </vt:variant>
      <vt:variant>
        <vt:i4>1179727</vt:i4>
      </vt:variant>
      <vt:variant>
        <vt:i4>57</vt:i4>
      </vt:variant>
      <vt:variant>
        <vt:i4>0</vt:i4>
      </vt:variant>
      <vt:variant>
        <vt:i4>5</vt:i4>
      </vt:variant>
      <vt:variant>
        <vt:lpwstr>https://about.noodle.com/insight/from-risk-to-reputation-the-hidden-cost-of-outdated-curriculum/</vt:lpwstr>
      </vt:variant>
      <vt:variant>
        <vt:lpwstr/>
      </vt:variant>
      <vt:variant>
        <vt:i4>2818103</vt:i4>
      </vt:variant>
      <vt:variant>
        <vt:i4>54</vt:i4>
      </vt:variant>
      <vt:variant>
        <vt:i4>0</vt:i4>
      </vt:variant>
      <vt:variant>
        <vt:i4>5</vt:i4>
      </vt:variant>
      <vt:variant>
        <vt:lpwstr>https://doi.org/10.1007/s10734-024-01248-4</vt:lpwstr>
      </vt:variant>
      <vt:variant>
        <vt:lpwstr/>
      </vt:variant>
      <vt:variant>
        <vt:i4>7078009</vt:i4>
      </vt:variant>
      <vt:variant>
        <vt:i4>51</vt:i4>
      </vt:variant>
      <vt:variant>
        <vt:i4>0</vt:i4>
      </vt:variant>
      <vt:variant>
        <vt:i4>5</vt:i4>
      </vt:variant>
      <vt:variant>
        <vt:lpwstr>https://natlawreview.com/article/higher-education-accreditation-under-scrutiny</vt:lpwstr>
      </vt:variant>
      <vt:variant>
        <vt:lpwstr/>
      </vt:variant>
      <vt:variant>
        <vt:i4>6094874</vt:i4>
      </vt:variant>
      <vt:variant>
        <vt:i4>48</vt:i4>
      </vt:variant>
      <vt:variant>
        <vt:i4>0</vt:i4>
      </vt:variant>
      <vt:variant>
        <vt:i4>5</vt:i4>
      </vt:variant>
      <vt:variant>
        <vt:lpwstr>https://mssiphiwemoyo.com/blog/fix-avoid-outdated-educational-materials/</vt:lpwstr>
      </vt:variant>
      <vt:variant>
        <vt:lpwstr/>
      </vt:variant>
      <vt:variant>
        <vt:i4>786522</vt:i4>
      </vt:variant>
      <vt:variant>
        <vt:i4>45</vt:i4>
      </vt:variant>
      <vt:variant>
        <vt:i4>0</vt:i4>
      </vt:variant>
      <vt:variant>
        <vt:i4>5</vt:i4>
      </vt:variant>
      <vt:variant>
        <vt:lpwstr>https://hbsp.harvard.edu/</vt:lpwstr>
      </vt:variant>
      <vt:variant>
        <vt:lpwstr/>
      </vt:variant>
      <vt:variant>
        <vt:i4>983052</vt:i4>
      </vt:variant>
      <vt:variant>
        <vt:i4>42</vt:i4>
      </vt:variant>
      <vt:variant>
        <vt:i4>0</vt:i4>
      </vt:variant>
      <vt:variant>
        <vt:i4>5</vt:i4>
      </vt:variant>
      <vt:variant>
        <vt:lpwstr>https://www.erblearn.org/blog/conduct-a-curriculum-audit/</vt:lpwstr>
      </vt:variant>
      <vt:variant>
        <vt:lpwstr/>
      </vt:variant>
      <vt:variant>
        <vt:i4>7536756</vt:i4>
      </vt:variant>
      <vt:variant>
        <vt:i4>39</vt:i4>
      </vt:variant>
      <vt:variant>
        <vt:i4>0</vt:i4>
      </vt:variant>
      <vt:variant>
        <vt:i4>5</vt:i4>
      </vt:variant>
      <vt:variant>
        <vt:lpwstr>https://www.ellucian.com/news/national-survey-reveals-59-college-students-considered-dropping-out-due-financial-stress</vt:lpwstr>
      </vt:variant>
      <vt:variant>
        <vt:lpwstr/>
      </vt:variant>
      <vt:variant>
        <vt:i4>6684706</vt:i4>
      </vt:variant>
      <vt:variant>
        <vt:i4>36</vt:i4>
      </vt:variant>
      <vt:variant>
        <vt:i4>0</vt:i4>
      </vt:variant>
      <vt:variant>
        <vt:i4>5</vt:i4>
      </vt:variant>
      <vt:variant>
        <vt:lpwstr>https://casetext.com/case/demers-v-austin-4</vt:lpwstr>
      </vt:variant>
      <vt:variant>
        <vt:lpwstr/>
      </vt:variant>
      <vt:variant>
        <vt:i4>5111821</vt:i4>
      </vt:variant>
      <vt:variant>
        <vt:i4>33</vt:i4>
      </vt:variant>
      <vt:variant>
        <vt:i4>0</vt:i4>
      </vt:variant>
      <vt:variant>
        <vt:i4>5</vt:i4>
      </vt:variant>
      <vt:variant>
        <vt:lpwstr>https://tophat.com/blog/print-textbook-editions/</vt:lpwstr>
      </vt:variant>
      <vt:variant>
        <vt:lpwstr/>
      </vt:variant>
      <vt:variant>
        <vt:i4>1048583</vt:i4>
      </vt:variant>
      <vt:variant>
        <vt:i4>30</vt:i4>
      </vt:variant>
      <vt:variant>
        <vt:i4>0</vt:i4>
      </vt:variant>
      <vt:variant>
        <vt:i4>5</vt:i4>
      </vt:variant>
      <vt:variant>
        <vt:lpwstr>https://changinghighered.com/top-risks-in-higher-education-erm-programs/</vt:lpwstr>
      </vt:variant>
      <vt:variant>
        <vt:lpwstr/>
      </vt:variant>
      <vt:variant>
        <vt:i4>1900627</vt:i4>
      </vt:variant>
      <vt:variant>
        <vt:i4>27</vt:i4>
      </vt:variant>
      <vt:variant>
        <vt:i4>0</vt:i4>
      </vt:variant>
      <vt:variant>
        <vt:i4>5</vt:i4>
      </vt:variant>
      <vt:variant>
        <vt:lpwstr>https://babbeducation.com/blog/ghost-faculty-hollow-content-the-hidden-risk-of-scaling-online-without-quality</vt:lpwstr>
      </vt:variant>
      <vt:variant>
        <vt:lpwstr/>
      </vt:variant>
      <vt:variant>
        <vt:i4>2752608</vt:i4>
      </vt:variant>
      <vt:variant>
        <vt:i4>24</vt:i4>
      </vt:variant>
      <vt:variant>
        <vt:i4>0</vt:i4>
      </vt:variant>
      <vt:variant>
        <vt:i4>5</vt:i4>
      </vt:variant>
      <vt:variant>
        <vt:lpwstr>https://apastyle.apa.org/blog/outdated-sources-myth</vt:lpwstr>
      </vt:variant>
      <vt:variant>
        <vt:lpwstr/>
      </vt:variant>
      <vt:variant>
        <vt:i4>6160460</vt:i4>
      </vt:variant>
      <vt:variant>
        <vt:i4>21</vt:i4>
      </vt:variant>
      <vt:variant>
        <vt:i4>0</vt:i4>
      </vt:variant>
      <vt:variant>
        <vt:i4>5</vt:i4>
      </vt:variant>
      <vt:variant>
        <vt:lpwstr>https://www.aacsb.edu/insights/reports/2023-state-of-accreditation-report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Wang</dc:creator>
  <cp:keywords/>
  <dc:description/>
  <cp:lastModifiedBy>Jennifer Beamer</cp:lastModifiedBy>
  <cp:revision>3</cp:revision>
  <dcterms:created xsi:type="dcterms:W3CDTF">2026-02-28T19:31:00Z</dcterms:created>
  <dcterms:modified xsi:type="dcterms:W3CDTF">2026-02-28T19:33:00Z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52fb935de99d5e917ab265c9409259ae1fbe416380efaad515b4ec48ad7751b6</vt:lpwstr>
  </property>
</Properties>
</file>